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91047376"/>
        <w:docPartObj>
          <w:docPartGallery w:val="Cover Pages"/>
          <w:docPartUnique/>
        </w:docPartObj>
      </w:sdtPr>
      <w:sdtContent>
        <w:p w14:paraId="6C5A58AA" w14:textId="557A7F8F" w:rsidR="0011503F" w:rsidRDefault="00D56679">
          <w:pPr>
            <w:spacing w:after="0" w:line="240" w:lineRule="auto"/>
            <w:rPr>
              <w:rFonts w:ascii="Calibri" w:eastAsia="Times New Roman" w:hAnsi="Calibri"/>
              <w:bCs/>
              <w:caps/>
              <w:color w:val="00A1AF"/>
              <w:sz w:val="36"/>
              <w:szCs w:val="26"/>
            </w:rPr>
          </w:pPr>
          <w:r>
            <w:rPr>
              <w:noProof/>
            </w:rPr>
            <w:drawing>
              <wp:anchor distT="0" distB="0" distL="114300" distR="114300" simplePos="0" relativeHeight="251659264" behindDoc="0" locked="0" layoutInCell="1" allowOverlap="1" wp14:anchorId="61086944" wp14:editId="7D6BEE7E">
                <wp:simplePos x="0" y="0"/>
                <wp:positionH relativeFrom="page">
                  <wp:align>left</wp:align>
                </wp:positionH>
                <wp:positionV relativeFrom="paragraph">
                  <wp:posOffset>-939229</wp:posOffset>
                </wp:positionV>
                <wp:extent cx="7637145" cy="10874415"/>
                <wp:effectExtent l="0" t="0" r="1905" b="3175"/>
                <wp:wrapNone/>
                <wp:docPr id="34" name="Full pag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ull page image">
                          <a:extLst>
                            <a:ext uri="{C183D7F6-B498-43B3-948B-1728B52AA6E4}">
                              <adec:decorative xmlns:adec="http://schemas.microsoft.com/office/drawing/2017/decorative" val="1"/>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7637849" cy="10875418"/>
                        </a:xfrm>
                        <a:prstGeom prst="rect">
                          <a:avLst/>
                        </a:prstGeom>
                      </pic:spPr>
                    </pic:pic>
                  </a:graphicData>
                </a:graphic>
                <wp14:sizeRelV relativeFrom="margin">
                  <wp14:pctHeight>0</wp14:pctHeight>
                </wp14:sizeRelV>
              </wp:anchor>
            </w:drawing>
          </w:r>
          <w:r w:rsidR="009E08E8">
            <w:rPr>
              <w:noProof/>
            </w:rPr>
            <mc:AlternateContent>
              <mc:Choice Requires="wps">
                <w:drawing>
                  <wp:anchor distT="0" distB="0" distL="114300" distR="114300" simplePos="0" relativeHeight="251661312" behindDoc="0" locked="0" layoutInCell="1" allowOverlap="1" wp14:anchorId="0A3E0BF0" wp14:editId="42F10DD9">
                    <wp:simplePos x="0" y="0"/>
                    <wp:positionH relativeFrom="page">
                      <wp:align>right</wp:align>
                    </wp:positionH>
                    <wp:positionV relativeFrom="paragraph">
                      <wp:posOffset>7692583</wp:posOffset>
                    </wp:positionV>
                    <wp:extent cx="7544434" cy="1005839"/>
                    <wp:effectExtent l="0" t="0" r="0" b="6350"/>
                    <wp:wrapNone/>
                    <wp:docPr id="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4434" cy="1005839"/>
                            </a:xfrm>
                            <a:prstGeom prst="rect">
                              <a:avLst/>
                            </a:prstGeom>
                            <a:noFill/>
                            <a:ln w="9525">
                              <a:noFill/>
                              <a:miter lim="800000"/>
                              <a:headEnd/>
                              <a:tailEnd/>
                            </a:ln>
                          </wps:spPr>
                          <wps:txbx>
                            <w:txbxContent>
                              <w:p w14:paraId="73D5CE5A" w14:textId="47763DD8" w:rsidR="0011503F" w:rsidRDefault="00E76F52" w:rsidP="00541CDB">
                                <w:pPr>
                                  <w:jc w:val="center"/>
                                  <w:rPr>
                                    <w:rFonts w:eastAsiaTheme="majorEastAsia" w:cstheme="majorBidi"/>
                                    <w:b/>
                                    <w:bCs/>
                                    <w:color w:val="FFFFFF" w:themeColor="background1"/>
                                    <w:sz w:val="48"/>
                                    <w:szCs w:val="52"/>
                                    <w:lang w:val="en-US" w:eastAsia="ja-JP"/>
                                  </w:rPr>
                                </w:pPr>
                                <w:r>
                                  <w:rPr>
                                    <w:rFonts w:eastAsiaTheme="majorEastAsia" w:cstheme="majorBidi"/>
                                    <w:b/>
                                    <w:bCs/>
                                    <w:color w:val="FFFFFF" w:themeColor="background1"/>
                                    <w:sz w:val="48"/>
                                    <w:szCs w:val="52"/>
                                    <w:lang w:val="en-US" w:eastAsia="ja-JP"/>
                                  </w:rPr>
                                  <w:t>Report on Widening Access</w:t>
                                </w:r>
                                <w:r w:rsidR="001F5588">
                                  <w:rPr>
                                    <w:rFonts w:eastAsiaTheme="majorEastAsia" w:cstheme="majorBidi"/>
                                    <w:b/>
                                    <w:bCs/>
                                    <w:color w:val="FFFFFF" w:themeColor="background1"/>
                                    <w:sz w:val="48"/>
                                    <w:szCs w:val="52"/>
                                    <w:lang w:val="en-US" w:eastAsia="ja-JP"/>
                                  </w:rPr>
                                  <w:t xml:space="preserve"> 2022-23 Annex</w:t>
                                </w:r>
                              </w:p>
                            </w:txbxContent>
                          </wps:txbx>
                          <wps:bodyPr rot="0" vert="horz" wrap="square" lIns="91440" tIns="45720" rIns="91440" bIns="45720" anchor="t" anchorCtr="0">
                            <a:spAutoFit/>
                          </wps:bodyPr>
                        </wps:wsp>
                      </a:graphicData>
                    </a:graphic>
                  </wp:anchor>
                </w:drawing>
              </mc:Choice>
              <mc:Fallback>
                <w:pict>
                  <v:shapetype w14:anchorId="0A3E0BF0" id="_x0000_t202" coordsize="21600,21600" o:spt="202" path="m,l,21600r21600,l21600,xe">
                    <v:stroke joinstyle="miter"/>
                    <v:path gradientshapeok="t" o:connecttype="rect"/>
                  </v:shapetype>
                  <v:shape id="Text Box 2" o:spid="_x0000_s1026" type="#_x0000_t202" alt="&quot;&quot;" style="position:absolute;margin-left:542.85pt;margin-top:605.7pt;width:594.05pt;height:79.2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" filled="f" stroked="f">
                    <v:textbox style="mso-fit-shape-to-text:t">
                      <w:txbxContent>
                        <w:p w14:paraId="73D5CE5A" w14:textId="47763DD8" w:rsidR="0011503F" w:rsidRDefault="00E76F52" w:rsidP="00541CDB">
                          <w:pPr>
                            <w:jc w:val="center"/>
                            <w:rPr>
                              <w:rFonts w:eastAsiaTheme="majorEastAsia" w:cstheme="majorBidi"/>
                              <w:b/>
                              <w:bCs/>
                              <w:color w:val="FFFFFF" w:themeColor="background1"/>
                              <w:sz w:val="48"/>
                              <w:szCs w:val="52"/>
                              <w:lang w:val="en-US" w:eastAsia="ja-JP"/>
                            </w:rPr>
                          </w:pPr>
                          <w:r>
                            <w:rPr>
                              <w:rFonts w:eastAsiaTheme="majorEastAsia" w:cstheme="majorBidi"/>
                              <w:b/>
                              <w:bCs/>
                              <w:color w:val="FFFFFF" w:themeColor="background1"/>
                              <w:sz w:val="48"/>
                              <w:szCs w:val="52"/>
                              <w:lang w:val="en-US" w:eastAsia="ja-JP"/>
                            </w:rPr>
                            <w:t>Report on Widening Access</w:t>
                          </w:r>
                          <w:r w:rsidR="001F5588">
                            <w:rPr>
                              <w:rFonts w:eastAsiaTheme="majorEastAsia" w:cstheme="majorBidi"/>
                              <w:b/>
                              <w:bCs/>
                              <w:color w:val="FFFFFF" w:themeColor="background1"/>
                              <w:sz w:val="48"/>
                              <w:szCs w:val="52"/>
                              <w:lang w:val="en-US" w:eastAsia="ja-JP"/>
                            </w:rPr>
                            <w:t xml:space="preserve"> 2022-23 Annex</w:t>
                          </w:r>
                        </w:p>
                      </w:txbxContent>
                    </v:textbox>
                    <w10:wrap anchorx="page"/>
                  </v:shape>
                </w:pict>
              </mc:Fallback>
            </mc:AlternateContent>
          </w:r>
          <w:r w:rsidR="0011503F">
            <w:rPr>
              <w:noProof/>
            </w:rPr>
            <mc:AlternateContent>
              <mc:Choice Requires="wps">
                <w:drawing>
                  <wp:anchor distT="0" distB="0" distL="114300" distR="114300" simplePos="0" relativeHeight="251660288" behindDoc="0" locked="0" layoutInCell="1" allowOverlap="1" wp14:anchorId="1E3D8994" wp14:editId="3D695854">
                    <wp:simplePos x="0" y="0"/>
                    <wp:positionH relativeFrom="column">
                      <wp:posOffset>3911600</wp:posOffset>
                    </wp:positionH>
                    <wp:positionV relativeFrom="paragraph">
                      <wp:posOffset>8661399</wp:posOffset>
                    </wp:positionV>
                    <wp:extent cx="2581275" cy="990601"/>
                    <wp:effectExtent l="0" t="0" r="0" b="0"/>
                    <wp:wrapNone/>
                    <wp:docPr id="12" name="Type and d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90601"/>
                            </a:xfrm>
                            <a:prstGeom prst="rect">
                              <a:avLst/>
                            </a:prstGeom>
                            <a:noFill/>
                            <a:ln w="9525">
                              <a:noFill/>
                              <a:miter lim="800000"/>
                              <a:headEnd/>
                              <a:tailEnd/>
                            </a:ln>
                          </wps:spPr>
                          <wps:txbx>
                            <w:txbxContent>
                              <w:p w14:paraId="00303A3D" w14:textId="77777777" w:rsidR="0011503F" w:rsidRPr="004A14C4" w:rsidRDefault="0011503F" w:rsidP="00541CDB">
                                <w:pPr>
                                  <w:pStyle w:val="CoverInfo"/>
                                  <w:rPr>
                                    <w:b/>
                                  </w:rPr>
                                </w:pPr>
                                <w:r w:rsidRPr="004A14C4">
                                  <w:rPr>
                                    <w:b/>
                                  </w:rPr>
                                  <w:t xml:space="preserve">SFC </w:t>
                                </w:r>
                                <w:r>
                                  <w:rPr>
                                    <w:b/>
                                  </w:rPr>
                                  <w:t>STATISTICS</w:t>
                                </w:r>
                              </w:p>
                              <w:p w14:paraId="5536D70D" w14:textId="18FFCB75" w:rsidR="0011503F" w:rsidRPr="004A14C4" w:rsidRDefault="0011503F" w:rsidP="00541CDB">
                                <w:pPr>
                                  <w:pStyle w:val="CoverInfo"/>
                                </w:pPr>
                                <w:r w:rsidRPr="00C32AB0">
                                  <w:rPr>
                                    <w:b/>
                                    <w:bCs/>
                                  </w:rPr>
                                  <w:t>REFERENCE:</w:t>
                                </w:r>
                                <w:r>
                                  <w:t xml:space="preserve"> SFC/ST/</w:t>
                                </w:r>
                                <w:r w:rsidR="007A2719">
                                  <w:t>05</w:t>
                                </w:r>
                                <w:r>
                                  <w:t>/20</w:t>
                                </w:r>
                                <w:r w:rsidR="007A2719">
                                  <w:t>24</w:t>
                                </w:r>
                              </w:p>
                              <w:p w14:paraId="33E503F6" w14:textId="76C5E802" w:rsidR="0011503F" w:rsidRPr="00541CDB" w:rsidRDefault="0011503F" w:rsidP="00541CDB">
                                <w:pPr>
                                  <w:pStyle w:val="CoverInfo"/>
                                </w:pPr>
                                <w:r w:rsidRPr="00C32AB0">
                                  <w:rPr>
                                    <w:b/>
                                    <w:bCs/>
                                  </w:rPr>
                                  <w:t>ISSUE DATE:</w:t>
                                </w:r>
                                <w:r>
                                  <w:t xml:space="preserve"> </w:t>
                                </w:r>
                                <w:r w:rsidR="00C17EDE">
                                  <w:t>22</w:t>
                                </w:r>
                                <w:r>
                                  <w:t>/10/2024</w:t>
                                </w:r>
                              </w:p>
                            </w:txbxContent>
                          </wps:txbx>
                          <wps:bodyPr rot="0" vert="horz" wrap="square" lIns="91440" tIns="45720" rIns="91440" bIns="45720" anchor="b" anchorCtr="0">
                            <a:noAutofit/>
                          </wps:bodyPr>
                        </wps:wsp>
                      </a:graphicData>
                    </a:graphic>
                  </wp:anchor>
                </w:drawing>
              </mc:Choice>
              <mc:Fallback>
                <w:pict>
                  <v:shape w14:anchorId="1E3D8994" id="Type and date" o:spid="_x0000_s1027" type="#_x0000_t202" alt="&quot;&quot;" style="position:absolute;margin-left:308pt;margin-top:682pt;width:203.2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Xa+gEAANQDAAAOAAAAZHJzL2Uyb0RvYy54bWysU11v2yAUfZ+0/4B4X/yhpE2sOFXXrtOk&#10;rpvU7QdgjGM04DIgsbNfvwt202h7m+YHxOWac+8597C9GbUiR+G8BFPTYpFTIgyHVpp9Tb9/e3i3&#10;ps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" filled="f" stroked="f">
                    <v:textbox>
                      <w:txbxContent>
                        <w:p w14:paraId="00303A3D" w14:textId="77777777" w:rsidR="0011503F" w:rsidRPr="004A14C4" w:rsidRDefault="0011503F" w:rsidP="00541CDB">
                          <w:pPr>
                            <w:pStyle w:val="CoverInfo"/>
                            <w:rPr>
                              <w:b/>
                            </w:rPr>
                          </w:pPr>
                          <w:r w:rsidRPr="004A14C4">
                            <w:rPr>
                              <w:b/>
                            </w:rPr>
                            <w:t xml:space="preserve">SFC </w:t>
                          </w:r>
                          <w:r>
                            <w:rPr>
                              <w:b/>
                            </w:rPr>
                            <w:t>STATISTICS</w:t>
                          </w:r>
                        </w:p>
                        <w:p w14:paraId="5536D70D" w14:textId="18FFCB75" w:rsidR="0011503F" w:rsidRPr="004A14C4" w:rsidRDefault="0011503F" w:rsidP="00541CDB">
                          <w:pPr>
                            <w:pStyle w:val="CoverInfo"/>
                          </w:pPr>
                          <w:r w:rsidRPr="00C32AB0">
                            <w:rPr>
                              <w:b/>
                              <w:bCs/>
                            </w:rPr>
                            <w:t>REFERENCE:</w:t>
                          </w:r>
                          <w:r>
                            <w:t xml:space="preserve"> SFC/ST/</w:t>
                          </w:r>
                          <w:r w:rsidR="007A2719">
                            <w:t>05</w:t>
                          </w:r>
                          <w:r>
                            <w:t>/20</w:t>
                          </w:r>
                          <w:r w:rsidR="007A2719">
                            <w:t>24</w:t>
                          </w:r>
                        </w:p>
                        <w:p w14:paraId="33E503F6" w14:textId="76C5E802" w:rsidR="0011503F" w:rsidRPr="00541CDB" w:rsidRDefault="0011503F" w:rsidP="00541CDB">
                          <w:pPr>
                            <w:pStyle w:val="CoverInfo"/>
                          </w:pPr>
                          <w:r w:rsidRPr="00C32AB0">
                            <w:rPr>
                              <w:b/>
                              <w:bCs/>
                            </w:rPr>
                            <w:t>ISSUE DATE:</w:t>
                          </w:r>
                          <w:r>
                            <w:t xml:space="preserve"> </w:t>
                          </w:r>
                          <w:r w:rsidR="00C17EDE">
                            <w:t>22</w:t>
                          </w:r>
                          <w:r>
                            <w:t>/10/2024</w:t>
                          </w:r>
                        </w:p>
                      </w:txbxContent>
                    </v:textbox>
                  </v:shape>
                </w:pict>
              </mc:Fallback>
            </mc:AlternateContent>
          </w:r>
          <w:r w:rsidR="0011503F">
            <w:br w:type="page"/>
          </w:r>
        </w:p>
      </w:sdtContent>
    </w:sdt>
    <w:p w14:paraId="5190F44A" w14:textId="32B640F0" w:rsidR="00E45013" w:rsidRPr="0011503F" w:rsidRDefault="001B3629" w:rsidP="0011503F">
      <w:pPr>
        <w:pStyle w:val="SummaryTitle"/>
        <w:sectPr w:rsidR="00E45013" w:rsidRPr="0011503F" w:rsidSect="00C72CC8">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851" w:left="1440" w:header="706" w:footer="706" w:gutter="0"/>
          <w:pgNumType w:start="1"/>
          <w:cols w:space="720"/>
          <w:titlePg/>
          <w:docGrid w:linePitch="381"/>
        </w:sectPr>
      </w:pPr>
      <w:r>
        <w:lastRenderedPageBreak/>
        <w:t>Report on Widening Access</w:t>
      </w:r>
      <w:r w:rsidR="0011503F">
        <w:t xml:space="preserve"> 2022-23</w:t>
      </w:r>
      <w:r w:rsidR="004371A4">
        <w:t xml:space="preserve"> Annex</w:t>
      </w:r>
    </w:p>
    <w:p w14:paraId="40F8A252" w14:textId="77777777" w:rsidR="00BD0B9A" w:rsidRPr="00364A73" w:rsidRDefault="002F7C4F" w:rsidP="0017035A">
      <w:pPr>
        <w:pStyle w:val="SummaryHeadings"/>
      </w:pPr>
      <w:r w:rsidRPr="002F7C4F">
        <w:t xml:space="preserve">Issue </w:t>
      </w:r>
      <w:r>
        <w:t>D</w:t>
      </w:r>
      <w:r w:rsidRPr="002F7C4F">
        <w:t>ate</w:t>
      </w:r>
      <w:r w:rsidR="00BD0B9A" w:rsidRPr="00364A73">
        <w:t>:</w:t>
      </w:r>
    </w:p>
    <w:p w14:paraId="1D780772" w14:textId="7092F979" w:rsidR="00E45013" w:rsidRPr="00364A73" w:rsidRDefault="00BD0B9A" w:rsidP="00364A73">
      <w:pPr>
        <w:sectPr w:rsidR="00E45013" w:rsidRPr="00364A73" w:rsidSect="000C761B">
          <w:type w:val="continuous"/>
          <w:pgSz w:w="11906" w:h="16838"/>
          <w:pgMar w:top="851" w:right="1440" w:bottom="851" w:left="1440" w:header="706" w:footer="706" w:gutter="0"/>
          <w:cols w:num="2" w:space="720" w:equalWidth="0">
            <w:col w:w="2102" w:space="144"/>
            <w:col w:w="6778"/>
          </w:cols>
          <w:titlePg/>
          <w:docGrid w:linePitch="381"/>
        </w:sectPr>
      </w:pPr>
      <w:r w:rsidRPr="00BC5875">
        <w:br w:type="column"/>
      </w:r>
      <w:r w:rsidR="001B3629">
        <w:t>22</w:t>
      </w:r>
      <w:r w:rsidR="00364A73">
        <w:t xml:space="preserve"> </w:t>
      </w:r>
      <w:r w:rsidR="007F7C47">
        <w:t>October</w:t>
      </w:r>
      <w:r w:rsidR="00364A73">
        <w:t xml:space="preserve"> 20</w:t>
      </w:r>
      <w:r w:rsidR="007F7C47">
        <w:t>24</w:t>
      </w:r>
    </w:p>
    <w:p w14:paraId="20C26A38" w14:textId="77777777" w:rsidR="00BD0B9A" w:rsidRPr="0017035A" w:rsidRDefault="002F7C4F" w:rsidP="0017035A">
      <w:pPr>
        <w:pStyle w:val="SummaryHeadings"/>
      </w:pPr>
      <w:r w:rsidRPr="0017035A">
        <w:t>Reference</w:t>
      </w:r>
      <w:r w:rsidR="00E45013" w:rsidRPr="0017035A">
        <w:t>:</w:t>
      </w:r>
    </w:p>
    <w:p w14:paraId="5D71BCF6" w14:textId="42318652" w:rsidR="00E45013" w:rsidRPr="00364A73" w:rsidRDefault="00E45013" w:rsidP="007914A5">
      <w:pPr>
        <w:sectPr w:rsidR="00E45013" w:rsidRPr="00364A73" w:rsidSect="000C761B">
          <w:type w:val="continuous"/>
          <w:pgSz w:w="11906" w:h="16838"/>
          <w:pgMar w:top="851" w:right="1440" w:bottom="851" w:left="1440" w:header="706" w:footer="706" w:gutter="0"/>
          <w:cols w:num="2" w:space="720" w:equalWidth="0">
            <w:col w:w="1962" w:space="284"/>
            <w:col w:w="6778"/>
          </w:cols>
          <w:titlePg/>
          <w:docGrid w:linePitch="381"/>
        </w:sectPr>
      </w:pPr>
      <w:r w:rsidRPr="00BC5875">
        <w:br w:type="column"/>
      </w:r>
      <w:r w:rsidRPr="00BC5875">
        <w:t>SFC/</w:t>
      </w:r>
      <w:r w:rsidR="00B8425E" w:rsidRPr="00BC5875">
        <w:t>AN</w:t>
      </w:r>
      <w:r w:rsidRPr="00BC5875">
        <w:t>/</w:t>
      </w:r>
      <w:r w:rsidR="00C72CC8">
        <w:t>05</w:t>
      </w:r>
      <w:r w:rsidRPr="00BC5875">
        <w:t>/20</w:t>
      </w:r>
      <w:r w:rsidR="00C72CC8">
        <w:t>24</w:t>
      </w:r>
    </w:p>
    <w:p w14:paraId="6F6B024E" w14:textId="77777777" w:rsidR="00BD0B9A" w:rsidRPr="00364A73" w:rsidRDefault="002F7C4F" w:rsidP="0017035A">
      <w:pPr>
        <w:pStyle w:val="SummaryHeadings"/>
      </w:pPr>
      <w:r w:rsidRPr="00364A73">
        <w:t>Summary</w:t>
      </w:r>
      <w:r w:rsidR="00E45013" w:rsidRPr="00364A73">
        <w:t>:</w:t>
      </w:r>
    </w:p>
    <w:p w14:paraId="77445B7A" w14:textId="5F7FE7D2" w:rsidR="00E45013" w:rsidRPr="00364A73" w:rsidRDefault="00E45013" w:rsidP="007914A5">
      <w:pPr>
        <w:sectPr w:rsidR="00E45013" w:rsidRPr="00364A73" w:rsidSect="000C761B">
          <w:type w:val="continuous"/>
          <w:pgSz w:w="11906" w:h="16838"/>
          <w:pgMar w:top="851" w:right="1440" w:bottom="851" w:left="1440" w:header="706" w:footer="706" w:gutter="0"/>
          <w:cols w:num="2" w:space="720" w:equalWidth="0">
            <w:col w:w="1962" w:space="284"/>
            <w:col w:w="6778"/>
          </w:cols>
          <w:titlePg/>
          <w:docGrid w:linePitch="381"/>
        </w:sectPr>
      </w:pPr>
      <w:r w:rsidRPr="00BC5875">
        <w:br w:type="column"/>
      </w:r>
      <w:r w:rsidR="0011503F" w:rsidRPr="0011503F">
        <w:t xml:space="preserve">This document provides context and methodological information pertaining to the </w:t>
      </w:r>
      <w:r w:rsidR="001B3629">
        <w:t>Report on Widening Access</w:t>
      </w:r>
      <w:r w:rsidR="0011503F">
        <w:t xml:space="preserve"> </w:t>
      </w:r>
      <w:r w:rsidR="0011503F" w:rsidRPr="0011503F">
        <w:t>2022-23 publication and background tables.</w:t>
      </w:r>
    </w:p>
    <w:p w14:paraId="14763BF4" w14:textId="77777777" w:rsidR="00BD0B9A" w:rsidRPr="00364A73" w:rsidRDefault="00E45013" w:rsidP="0017035A">
      <w:pPr>
        <w:pStyle w:val="SummaryHeadings"/>
      </w:pPr>
      <w:r w:rsidRPr="00364A73">
        <w:t>FAO:</w:t>
      </w:r>
    </w:p>
    <w:p w14:paraId="2B21DB31" w14:textId="0DDBAE82" w:rsidR="00BD0B9A" w:rsidRPr="004E7E05" w:rsidRDefault="00E45013" w:rsidP="007914A5">
      <w:pPr>
        <w:rPr>
          <w:lang w:val="en-US"/>
        </w:rPr>
        <w:sectPr w:rsidR="00BD0B9A" w:rsidRPr="004E7E05" w:rsidSect="000C761B">
          <w:type w:val="continuous"/>
          <w:pgSz w:w="11906" w:h="16838"/>
          <w:pgMar w:top="851" w:right="1440" w:bottom="851" w:left="1440" w:header="706" w:footer="706" w:gutter="0"/>
          <w:cols w:num="2" w:space="708" w:equalWidth="0">
            <w:col w:w="1962" w:space="284"/>
            <w:col w:w="6778"/>
          </w:cols>
          <w:titlePg/>
          <w:docGrid w:linePitch="381"/>
        </w:sectPr>
      </w:pPr>
      <w:r w:rsidRPr="004E7E05">
        <w:br w:type="column"/>
      </w:r>
      <w:r w:rsidR="001B3629" w:rsidRPr="001B3629">
        <w:t>Principals and Chairs of Scotland’s colleges and universities, Scottish Government, students, parents, guardians and the general public.</w:t>
      </w:r>
    </w:p>
    <w:p w14:paraId="4CE2C07D" w14:textId="77777777"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31FF6583" w14:textId="77777777" w:rsidR="00BD0B9A" w:rsidRPr="00BC5875" w:rsidRDefault="00BD0B9A" w:rsidP="007914A5"/>
    <w:p w14:paraId="2DE60DDC" w14:textId="106D4DD5" w:rsidR="00E45013" w:rsidRPr="00BC5875" w:rsidRDefault="00651460" w:rsidP="007914A5">
      <w:r w:rsidRPr="00BC5875">
        <w:br w:type="column"/>
      </w:r>
      <w:r w:rsidR="009E6CB6" w:rsidRPr="00F25241">
        <w:rPr>
          <w:b/>
          <w:bCs/>
        </w:rPr>
        <w:t>CONTACT:</w:t>
      </w:r>
      <w:r w:rsidR="009E6CB6" w:rsidRPr="00BC5875">
        <w:t xml:space="preserve"> </w:t>
      </w:r>
      <w:r w:rsidR="001B3629">
        <w:t>Daniel Proudfoot</w:t>
      </w:r>
    </w:p>
    <w:p w14:paraId="6DAE7E65" w14:textId="3E005099" w:rsidR="00E45013" w:rsidRPr="00BC5875" w:rsidRDefault="009E6CB6" w:rsidP="007914A5">
      <w:r w:rsidRPr="00F25241">
        <w:rPr>
          <w:b/>
          <w:bCs/>
        </w:rPr>
        <w:t>JOB TITLE:</w:t>
      </w:r>
      <w:r w:rsidRPr="00BC5875">
        <w:t xml:space="preserve"> </w:t>
      </w:r>
      <w:r w:rsidR="007F7C47">
        <w:t xml:space="preserve">Senior </w:t>
      </w:r>
      <w:r w:rsidR="00F451A0">
        <w:t>D</w:t>
      </w:r>
      <w:r w:rsidR="007F7C47">
        <w:t xml:space="preserve">ata </w:t>
      </w:r>
      <w:r w:rsidR="00F451A0">
        <w:t>A</w:t>
      </w:r>
      <w:r w:rsidR="007F7C47">
        <w:t>nalyst</w:t>
      </w:r>
    </w:p>
    <w:p w14:paraId="5A33E1D9" w14:textId="08C08ADE" w:rsidR="00E45013" w:rsidRPr="00BC5875" w:rsidRDefault="009E6CB6" w:rsidP="007914A5">
      <w:r w:rsidRPr="00F25241">
        <w:rPr>
          <w:b/>
          <w:bCs/>
        </w:rPr>
        <w:t>DIRECTORATE:</w:t>
      </w:r>
      <w:r w:rsidRPr="00BC5875">
        <w:t xml:space="preserve"> </w:t>
      </w:r>
      <w:r w:rsidR="007F7C47" w:rsidRPr="007F7C47">
        <w:t>Policy, Insight and Analytics</w:t>
      </w:r>
    </w:p>
    <w:p w14:paraId="136C3719" w14:textId="1FD27359" w:rsidR="00E45013" w:rsidRPr="00BC5875" w:rsidRDefault="009E6CB6" w:rsidP="007914A5">
      <w:r w:rsidRPr="00F25241">
        <w:rPr>
          <w:b/>
          <w:bCs/>
        </w:rPr>
        <w:t>TEL:</w:t>
      </w:r>
      <w:r w:rsidRPr="00BC5875">
        <w:t xml:space="preserve"> </w:t>
      </w:r>
      <w:r w:rsidR="001B3629" w:rsidRPr="001B3629">
        <w:t xml:space="preserve">0131 313 6533 </w:t>
      </w:r>
    </w:p>
    <w:p w14:paraId="398A77D3" w14:textId="11FB9B6B" w:rsidR="00E45013" w:rsidRPr="00F25241" w:rsidRDefault="009E6CB6" w:rsidP="007914A5">
      <w:pPr>
        <w:rPr>
          <w:rStyle w:val="Hyperlink"/>
        </w:rPr>
      </w:pPr>
      <w:r w:rsidRPr="2D8C5B14">
        <w:rPr>
          <w:b/>
          <w:bCs/>
        </w:rPr>
        <w:t>EMAIL:</w:t>
      </w:r>
      <w:r>
        <w:t xml:space="preserve"> </w:t>
      </w:r>
      <w:hyperlink r:id="rId19">
        <w:r w:rsidR="001B3629" w:rsidRPr="2D8C5B14">
          <w:rPr>
            <w:rStyle w:val="Hyperlink"/>
            <w:szCs w:val="24"/>
          </w:rPr>
          <w:t>dproudfoot@sfc.ac.uk</w:t>
        </w:r>
      </w:hyperlink>
    </w:p>
    <w:p w14:paraId="1023A6E8" w14:textId="77777777" w:rsidR="00E45013" w:rsidRDefault="00E45013"/>
    <w:p w14:paraId="42C6D02C" w14:textId="77777777" w:rsidR="0015480F" w:rsidRPr="00BC5875" w:rsidRDefault="0015480F">
      <w:pPr>
        <w:sectPr w:rsidR="0015480F" w:rsidRPr="00BC5875" w:rsidSect="000C761B">
          <w:type w:val="continuous"/>
          <w:pgSz w:w="11906" w:h="16838"/>
          <w:pgMar w:top="851" w:right="1440" w:bottom="851" w:left="1440" w:header="706" w:footer="706" w:gutter="0"/>
          <w:cols w:num="2" w:space="1862" w:equalWidth="0">
            <w:col w:w="1962" w:space="284"/>
            <w:col w:w="6778"/>
          </w:cols>
          <w:titlePg/>
          <w:docGrid w:linePitch="381"/>
        </w:sectPr>
      </w:pPr>
    </w:p>
    <w:p w14:paraId="00C1C060" w14:textId="77777777" w:rsidR="0015480F" w:rsidRPr="00971C77" w:rsidRDefault="0015480F" w:rsidP="0015480F">
      <w:bookmarkStart w:id="0" w:name="_Toc78382777"/>
      <w:bookmarkStart w:id="1" w:name="_Toc78453691"/>
      <w:bookmarkStart w:id="2" w:name="_Toc78463358"/>
      <w:bookmarkStart w:id="3" w:name="_Toc78465747"/>
      <w:bookmarkStart w:id="4" w:name="_Toc78466729"/>
    </w:p>
    <w:p w14:paraId="23FDD59A" w14:textId="45D0236C" w:rsidR="0015480F" w:rsidRPr="00A05026" w:rsidRDefault="005307A4" w:rsidP="007914A5">
      <w:pPr>
        <w:pStyle w:val="Texthighlight"/>
      </w:pPr>
      <w:r w:rsidRPr="005307A4">
        <w:rPr>
          <w:b/>
          <w:bCs/>
        </w:rPr>
        <w:t>This is an Official Statistics publication</w:t>
      </w:r>
      <w:r w:rsidRPr="005307A4">
        <w:t>. All Official Statistics should comply with the UK Statistics Authority’s Code of Practice for Statistics, which promotes the production and dissemination of Official Statistics that inform decision-making. Find out more about the Code of Practice for Official Statistics at</w:t>
      </w:r>
      <w:r w:rsidRPr="006330CE">
        <w:rPr>
          <w:szCs w:val="24"/>
        </w:rPr>
        <w:t xml:space="preserve"> </w:t>
      </w:r>
      <w:hyperlink r:id="rId20" w:history="1">
        <w:r w:rsidRPr="006330CE">
          <w:rPr>
            <w:rStyle w:val="Hyperlink"/>
            <w:szCs w:val="24"/>
          </w:rPr>
          <w:t>UK Statistics Authority's website</w:t>
        </w:r>
      </w:hyperlink>
      <w:r>
        <w:t>.</w:t>
      </w:r>
    </w:p>
    <w:p w14:paraId="1E976390" w14:textId="7D7C12EB" w:rsidR="0017495C" w:rsidRDefault="0054467E" w:rsidP="00BA648F">
      <w:bookmarkStart w:id="5" w:name="_Toc106620332"/>
      <w:bookmarkStart w:id="6" w:name="_Toc106620450"/>
      <w:bookmarkEnd w:id="0"/>
      <w:bookmarkEnd w:id="1"/>
      <w:bookmarkEnd w:id="2"/>
      <w:bookmarkEnd w:id="3"/>
      <w:bookmarkEnd w:id="4"/>
      <w:r w:rsidRPr="00BC5875">
        <w:br w:type="page"/>
      </w:r>
    </w:p>
    <w:sdt>
      <w:sdtPr>
        <w:rPr>
          <w:rFonts w:asciiTheme="minorHAnsi" w:eastAsiaTheme="minorEastAsia" w:hAnsiTheme="minorHAnsi" w:cstheme="minorBidi"/>
          <w:bCs w:val="0"/>
          <w:color w:val="2F1A45" w:themeColor="text1"/>
          <w:sz w:val="24"/>
          <w:szCs w:val="24"/>
          <w:lang w:eastAsia="en-US"/>
        </w:rPr>
        <w:id w:val="1611866298"/>
        <w:docPartObj>
          <w:docPartGallery w:val="Table of Contents"/>
          <w:docPartUnique/>
        </w:docPartObj>
      </w:sdtPr>
      <w:sdtEndPr>
        <w:rPr>
          <w:b/>
          <w:bCs/>
          <w:color w:val="auto"/>
        </w:rPr>
      </w:sdtEndPr>
      <w:sdtContent>
        <w:p w14:paraId="39B006B3" w14:textId="327AB8C9" w:rsidR="0017495C" w:rsidRDefault="0017495C">
          <w:pPr>
            <w:pStyle w:val="TOCHeading"/>
          </w:pPr>
          <w:r>
            <w:t>Table of Contents</w:t>
          </w:r>
        </w:p>
        <w:p w14:paraId="6005100A" w14:textId="63818C3F" w:rsidR="00070A47" w:rsidRDefault="0017495C">
          <w:pPr>
            <w:pStyle w:val="TOC1"/>
            <w:tabs>
              <w:tab w:val="right" w:leader="dot" w:pos="9016"/>
            </w:tabs>
            <w:rPr>
              <w:rFonts w:eastAsiaTheme="minorEastAsia"/>
              <w:b w:val="0"/>
              <w:noProof/>
              <w:szCs w:val="24"/>
              <w:lang w:eastAsia="en-GB"/>
            </w:rPr>
          </w:pPr>
          <w:r>
            <w:fldChar w:fldCharType="begin"/>
          </w:r>
          <w:r>
            <w:instrText xml:space="preserve"> TOC \o "1-3" \h \z \u </w:instrText>
          </w:r>
          <w:r>
            <w:fldChar w:fldCharType="separate"/>
          </w:r>
          <w:hyperlink w:anchor="_Toc179962758" w:history="1">
            <w:r w:rsidR="00070A47" w:rsidRPr="00283EE9">
              <w:rPr>
                <w:rStyle w:val="Hyperlink"/>
                <w:noProof/>
              </w:rPr>
              <w:t>Annex A – Scottish Government Targets and Related Measures</w:t>
            </w:r>
            <w:r w:rsidR="00070A47">
              <w:rPr>
                <w:noProof/>
                <w:webHidden/>
              </w:rPr>
              <w:tab/>
            </w:r>
            <w:r w:rsidR="00070A47">
              <w:rPr>
                <w:noProof/>
                <w:webHidden/>
              </w:rPr>
              <w:fldChar w:fldCharType="begin"/>
            </w:r>
            <w:r w:rsidR="00070A47">
              <w:rPr>
                <w:noProof/>
                <w:webHidden/>
              </w:rPr>
              <w:instrText xml:space="preserve"> PAGEREF _Toc179962758 \h </w:instrText>
            </w:r>
            <w:r w:rsidR="00070A47">
              <w:rPr>
                <w:noProof/>
                <w:webHidden/>
              </w:rPr>
            </w:r>
            <w:r w:rsidR="00070A47">
              <w:rPr>
                <w:noProof/>
                <w:webHidden/>
              </w:rPr>
              <w:fldChar w:fldCharType="separate"/>
            </w:r>
            <w:r w:rsidR="005E3595">
              <w:rPr>
                <w:noProof/>
                <w:webHidden/>
              </w:rPr>
              <w:t>4</w:t>
            </w:r>
            <w:r w:rsidR="00070A47">
              <w:rPr>
                <w:noProof/>
                <w:webHidden/>
              </w:rPr>
              <w:fldChar w:fldCharType="end"/>
            </w:r>
          </w:hyperlink>
        </w:p>
        <w:p w14:paraId="3D453995" w14:textId="7B58F357" w:rsidR="00070A47" w:rsidRDefault="00070A47">
          <w:pPr>
            <w:pStyle w:val="TOC2"/>
            <w:tabs>
              <w:tab w:val="right" w:leader="dot" w:pos="9016"/>
            </w:tabs>
            <w:rPr>
              <w:rFonts w:eastAsiaTheme="minorEastAsia"/>
              <w:noProof/>
              <w:szCs w:val="24"/>
              <w:lang w:eastAsia="en-GB"/>
            </w:rPr>
          </w:pPr>
          <w:hyperlink w:anchor="_Toc179962759" w:history="1">
            <w:r w:rsidRPr="00283EE9">
              <w:rPr>
                <w:rStyle w:val="Hyperlink"/>
                <w:rFonts w:eastAsia="Calibri" w:cstheme="minorHAnsi"/>
                <w:noProof/>
                <w:lang w:val="en-US"/>
              </w:rPr>
              <w:t>COWA Recommendation 32</w:t>
            </w:r>
            <w:r>
              <w:rPr>
                <w:noProof/>
                <w:webHidden/>
              </w:rPr>
              <w:tab/>
            </w:r>
            <w:r>
              <w:rPr>
                <w:noProof/>
                <w:webHidden/>
              </w:rPr>
              <w:fldChar w:fldCharType="begin"/>
            </w:r>
            <w:r>
              <w:rPr>
                <w:noProof/>
                <w:webHidden/>
              </w:rPr>
              <w:instrText xml:space="preserve"> PAGEREF _Toc179962759 \h </w:instrText>
            </w:r>
            <w:r>
              <w:rPr>
                <w:noProof/>
                <w:webHidden/>
              </w:rPr>
            </w:r>
            <w:r>
              <w:rPr>
                <w:noProof/>
                <w:webHidden/>
              </w:rPr>
              <w:fldChar w:fldCharType="separate"/>
            </w:r>
            <w:r w:rsidR="005E3595">
              <w:rPr>
                <w:noProof/>
                <w:webHidden/>
              </w:rPr>
              <w:t>4</w:t>
            </w:r>
            <w:r>
              <w:rPr>
                <w:noProof/>
                <w:webHidden/>
              </w:rPr>
              <w:fldChar w:fldCharType="end"/>
            </w:r>
          </w:hyperlink>
        </w:p>
        <w:p w14:paraId="23BEDCD3" w14:textId="22D5DFB5" w:rsidR="00070A47" w:rsidRDefault="00070A47">
          <w:pPr>
            <w:pStyle w:val="TOC1"/>
            <w:tabs>
              <w:tab w:val="right" w:leader="dot" w:pos="9016"/>
            </w:tabs>
            <w:rPr>
              <w:rFonts w:eastAsiaTheme="minorEastAsia"/>
              <w:b w:val="0"/>
              <w:noProof/>
              <w:szCs w:val="24"/>
              <w:lang w:eastAsia="en-GB"/>
            </w:rPr>
          </w:pPr>
          <w:hyperlink w:anchor="_Toc179962760" w:history="1">
            <w:r w:rsidRPr="00283EE9">
              <w:rPr>
                <w:rStyle w:val="Hyperlink"/>
                <w:noProof/>
              </w:rPr>
              <w:t>Annex B – SFC Definition of Care Experience</w:t>
            </w:r>
            <w:r>
              <w:rPr>
                <w:noProof/>
                <w:webHidden/>
              </w:rPr>
              <w:tab/>
            </w:r>
            <w:r>
              <w:rPr>
                <w:noProof/>
                <w:webHidden/>
              </w:rPr>
              <w:fldChar w:fldCharType="begin"/>
            </w:r>
            <w:r>
              <w:rPr>
                <w:noProof/>
                <w:webHidden/>
              </w:rPr>
              <w:instrText xml:space="preserve"> PAGEREF _Toc179962760 \h </w:instrText>
            </w:r>
            <w:r>
              <w:rPr>
                <w:noProof/>
                <w:webHidden/>
              </w:rPr>
            </w:r>
            <w:r>
              <w:rPr>
                <w:noProof/>
                <w:webHidden/>
              </w:rPr>
              <w:fldChar w:fldCharType="separate"/>
            </w:r>
            <w:r w:rsidR="005E3595">
              <w:rPr>
                <w:noProof/>
                <w:webHidden/>
              </w:rPr>
              <w:t>5</w:t>
            </w:r>
            <w:r>
              <w:rPr>
                <w:noProof/>
                <w:webHidden/>
              </w:rPr>
              <w:fldChar w:fldCharType="end"/>
            </w:r>
          </w:hyperlink>
        </w:p>
        <w:p w14:paraId="6C2A605E" w14:textId="03517CE5" w:rsidR="00070A47" w:rsidRDefault="00070A47">
          <w:pPr>
            <w:pStyle w:val="TOC1"/>
            <w:tabs>
              <w:tab w:val="right" w:leader="dot" w:pos="9016"/>
            </w:tabs>
            <w:rPr>
              <w:rFonts w:eastAsiaTheme="minorEastAsia"/>
              <w:b w:val="0"/>
              <w:noProof/>
              <w:szCs w:val="24"/>
              <w:lang w:eastAsia="en-GB"/>
            </w:rPr>
          </w:pPr>
          <w:hyperlink w:anchor="_Toc179962761" w:history="1">
            <w:r w:rsidRPr="00283EE9">
              <w:rPr>
                <w:rStyle w:val="Hyperlink"/>
                <w:noProof/>
              </w:rPr>
              <w:t>Annex C: Report Contents and Coverage</w:t>
            </w:r>
            <w:r>
              <w:rPr>
                <w:noProof/>
                <w:webHidden/>
              </w:rPr>
              <w:tab/>
            </w:r>
            <w:r>
              <w:rPr>
                <w:noProof/>
                <w:webHidden/>
              </w:rPr>
              <w:fldChar w:fldCharType="begin"/>
            </w:r>
            <w:r>
              <w:rPr>
                <w:noProof/>
                <w:webHidden/>
              </w:rPr>
              <w:instrText xml:space="preserve"> PAGEREF _Toc179962761 \h </w:instrText>
            </w:r>
            <w:r>
              <w:rPr>
                <w:noProof/>
                <w:webHidden/>
              </w:rPr>
            </w:r>
            <w:r>
              <w:rPr>
                <w:noProof/>
                <w:webHidden/>
              </w:rPr>
              <w:fldChar w:fldCharType="separate"/>
            </w:r>
            <w:r w:rsidR="005E3595">
              <w:rPr>
                <w:noProof/>
                <w:webHidden/>
              </w:rPr>
              <w:t>6</w:t>
            </w:r>
            <w:r>
              <w:rPr>
                <w:noProof/>
                <w:webHidden/>
              </w:rPr>
              <w:fldChar w:fldCharType="end"/>
            </w:r>
          </w:hyperlink>
        </w:p>
        <w:p w14:paraId="30BFEE8F" w14:textId="3A7C59C5" w:rsidR="00070A47" w:rsidRDefault="00070A47">
          <w:pPr>
            <w:pStyle w:val="TOC2"/>
            <w:tabs>
              <w:tab w:val="right" w:leader="dot" w:pos="9016"/>
            </w:tabs>
            <w:rPr>
              <w:rFonts w:eastAsiaTheme="minorEastAsia"/>
              <w:noProof/>
              <w:szCs w:val="24"/>
              <w:lang w:eastAsia="en-GB"/>
            </w:rPr>
          </w:pPr>
          <w:hyperlink w:anchor="_Toc179962762" w:history="1">
            <w:r w:rsidRPr="00283EE9">
              <w:rPr>
                <w:rStyle w:val="Hyperlink"/>
                <w:rFonts w:eastAsia="Calibri" w:cstheme="minorHAnsi"/>
                <w:noProof/>
                <w:lang w:val="en-US"/>
              </w:rPr>
              <w:t>University entrants</w:t>
            </w:r>
            <w:r>
              <w:rPr>
                <w:noProof/>
                <w:webHidden/>
              </w:rPr>
              <w:tab/>
            </w:r>
            <w:r>
              <w:rPr>
                <w:noProof/>
                <w:webHidden/>
              </w:rPr>
              <w:fldChar w:fldCharType="begin"/>
            </w:r>
            <w:r>
              <w:rPr>
                <w:noProof/>
                <w:webHidden/>
              </w:rPr>
              <w:instrText xml:space="preserve"> PAGEREF _Toc179962762 \h </w:instrText>
            </w:r>
            <w:r>
              <w:rPr>
                <w:noProof/>
                <w:webHidden/>
              </w:rPr>
            </w:r>
            <w:r>
              <w:rPr>
                <w:noProof/>
                <w:webHidden/>
              </w:rPr>
              <w:fldChar w:fldCharType="separate"/>
            </w:r>
            <w:r w:rsidR="005E3595">
              <w:rPr>
                <w:noProof/>
                <w:webHidden/>
              </w:rPr>
              <w:t>6</w:t>
            </w:r>
            <w:r>
              <w:rPr>
                <w:noProof/>
                <w:webHidden/>
              </w:rPr>
              <w:fldChar w:fldCharType="end"/>
            </w:r>
          </w:hyperlink>
        </w:p>
        <w:p w14:paraId="4E2FB9E4" w14:textId="63A14F13" w:rsidR="00070A47" w:rsidRDefault="00070A47">
          <w:pPr>
            <w:pStyle w:val="TOC2"/>
            <w:tabs>
              <w:tab w:val="right" w:leader="dot" w:pos="9016"/>
            </w:tabs>
            <w:rPr>
              <w:rFonts w:eastAsiaTheme="minorEastAsia"/>
              <w:noProof/>
              <w:szCs w:val="24"/>
              <w:lang w:eastAsia="en-GB"/>
            </w:rPr>
          </w:pPr>
          <w:hyperlink w:anchor="_Toc179962763" w:history="1">
            <w:r w:rsidRPr="00283EE9">
              <w:rPr>
                <w:rStyle w:val="Hyperlink"/>
                <w:rFonts w:eastAsia="Calibri" w:cstheme="minorHAnsi"/>
                <w:noProof/>
                <w:lang w:val="en-US"/>
              </w:rPr>
              <w:t>College entrants</w:t>
            </w:r>
            <w:r>
              <w:rPr>
                <w:noProof/>
                <w:webHidden/>
              </w:rPr>
              <w:tab/>
            </w:r>
            <w:r>
              <w:rPr>
                <w:noProof/>
                <w:webHidden/>
              </w:rPr>
              <w:fldChar w:fldCharType="begin"/>
            </w:r>
            <w:r>
              <w:rPr>
                <w:noProof/>
                <w:webHidden/>
              </w:rPr>
              <w:instrText xml:space="preserve"> PAGEREF _Toc179962763 \h </w:instrText>
            </w:r>
            <w:r>
              <w:rPr>
                <w:noProof/>
                <w:webHidden/>
              </w:rPr>
            </w:r>
            <w:r>
              <w:rPr>
                <w:noProof/>
                <w:webHidden/>
              </w:rPr>
              <w:fldChar w:fldCharType="separate"/>
            </w:r>
            <w:r w:rsidR="005E3595">
              <w:rPr>
                <w:noProof/>
                <w:webHidden/>
              </w:rPr>
              <w:t>6</w:t>
            </w:r>
            <w:r>
              <w:rPr>
                <w:noProof/>
                <w:webHidden/>
              </w:rPr>
              <w:fldChar w:fldCharType="end"/>
            </w:r>
          </w:hyperlink>
        </w:p>
        <w:p w14:paraId="17FB46C8" w14:textId="063D3BF5" w:rsidR="00070A47" w:rsidRDefault="00070A47">
          <w:pPr>
            <w:pStyle w:val="TOC2"/>
            <w:tabs>
              <w:tab w:val="right" w:leader="dot" w:pos="9016"/>
            </w:tabs>
            <w:rPr>
              <w:rFonts w:eastAsiaTheme="minorEastAsia"/>
              <w:noProof/>
              <w:szCs w:val="24"/>
              <w:lang w:eastAsia="en-GB"/>
            </w:rPr>
          </w:pPr>
          <w:hyperlink w:anchor="_Toc179962764" w:history="1">
            <w:r w:rsidRPr="00283EE9">
              <w:rPr>
                <w:rStyle w:val="Hyperlink"/>
                <w:rFonts w:eastAsia="Calibri" w:cstheme="minorHAnsi"/>
                <w:noProof/>
                <w:lang w:val="en-US"/>
              </w:rPr>
              <w:t>University retention</w:t>
            </w:r>
            <w:r>
              <w:rPr>
                <w:noProof/>
                <w:webHidden/>
              </w:rPr>
              <w:tab/>
            </w:r>
            <w:r>
              <w:rPr>
                <w:noProof/>
                <w:webHidden/>
              </w:rPr>
              <w:fldChar w:fldCharType="begin"/>
            </w:r>
            <w:r>
              <w:rPr>
                <w:noProof/>
                <w:webHidden/>
              </w:rPr>
              <w:instrText xml:space="preserve"> PAGEREF _Toc179962764 \h </w:instrText>
            </w:r>
            <w:r>
              <w:rPr>
                <w:noProof/>
                <w:webHidden/>
              </w:rPr>
            </w:r>
            <w:r>
              <w:rPr>
                <w:noProof/>
                <w:webHidden/>
              </w:rPr>
              <w:fldChar w:fldCharType="separate"/>
            </w:r>
            <w:r w:rsidR="005E3595">
              <w:rPr>
                <w:noProof/>
                <w:webHidden/>
              </w:rPr>
              <w:t>7</w:t>
            </w:r>
            <w:r>
              <w:rPr>
                <w:noProof/>
                <w:webHidden/>
              </w:rPr>
              <w:fldChar w:fldCharType="end"/>
            </w:r>
          </w:hyperlink>
        </w:p>
        <w:p w14:paraId="1DD7302A" w14:textId="729C07E7" w:rsidR="00070A47" w:rsidRDefault="00070A47">
          <w:pPr>
            <w:pStyle w:val="TOC2"/>
            <w:tabs>
              <w:tab w:val="right" w:leader="dot" w:pos="9016"/>
            </w:tabs>
            <w:rPr>
              <w:rFonts w:eastAsiaTheme="minorEastAsia"/>
              <w:noProof/>
              <w:szCs w:val="24"/>
              <w:lang w:eastAsia="en-GB"/>
            </w:rPr>
          </w:pPr>
          <w:hyperlink w:anchor="_Toc179962765" w:history="1">
            <w:r w:rsidRPr="00283EE9">
              <w:rPr>
                <w:rStyle w:val="Hyperlink"/>
                <w:rFonts w:eastAsia="Calibri" w:cstheme="minorHAnsi"/>
                <w:noProof/>
                <w:lang w:val="en-US"/>
              </w:rPr>
              <w:t>College success</w:t>
            </w:r>
            <w:r>
              <w:rPr>
                <w:noProof/>
                <w:webHidden/>
              </w:rPr>
              <w:tab/>
            </w:r>
            <w:r>
              <w:rPr>
                <w:noProof/>
                <w:webHidden/>
              </w:rPr>
              <w:fldChar w:fldCharType="begin"/>
            </w:r>
            <w:r>
              <w:rPr>
                <w:noProof/>
                <w:webHidden/>
              </w:rPr>
              <w:instrText xml:space="preserve"> PAGEREF _Toc179962765 \h </w:instrText>
            </w:r>
            <w:r>
              <w:rPr>
                <w:noProof/>
                <w:webHidden/>
              </w:rPr>
            </w:r>
            <w:r>
              <w:rPr>
                <w:noProof/>
                <w:webHidden/>
              </w:rPr>
              <w:fldChar w:fldCharType="separate"/>
            </w:r>
            <w:r w:rsidR="005E3595">
              <w:rPr>
                <w:noProof/>
                <w:webHidden/>
              </w:rPr>
              <w:t>7</w:t>
            </w:r>
            <w:r>
              <w:rPr>
                <w:noProof/>
                <w:webHidden/>
              </w:rPr>
              <w:fldChar w:fldCharType="end"/>
            </w:r>
          </w:hyperlink>
        </w:p>
        <w:p w14:paraId="635F7600" w14:textId="7275E7E7" w:rsidR="00070A47" w:rsidRDefault="00070A47">
          <w:pPr>
            <w:pStyle w:val="TOC2"/>
            <w:tabs>
              <w:tab w:val="right" w:leader="dot" w:pos="9016"/>
            </w:tabs>
            <w:rPr>
              <w:rFonts w:eastAsiaTheme="minorEastAsia"/>
              <w:noProof/>
              <w:szCs w:val="24"/>
              <w:lang w:eastAsia="en-GB"/>
            </w:rPr>
          </w:pPr>
          <w:hyperlink w:anchor="_Toc179962766" w:history="1">
            <w:r w:rsidRPr="00283EE9">
              <w:rPr>
                <w:rStyle w:val="Hyperlink"/>
                <w:rFonts w:eastAsia="Calibri" w:cstheme="minorHAnsi"/>
                <w:noProof/>
                <w:lang w:val="en-US"/>
              </w:rPr>
              <w:t>University qualifiers</w:t>
            </w:r>
            <w:r>
              <w:rPr>
                <w:noProof/>
                <w:webHidden/>
              </w:rPr>
              <w:tab/>
            </w:r>
            <w:r>
              <w:rPr>
                <w:noProof/>
                <w:webHidden/>
              </w:rPr>
              <w:fldChar w:fldCharType="begin"/>
            </w:r>
            <w:r>
              <w:rPr>
                <w:noProof/>
                <w:webHidden/>
              </w:rPr>
              <w:instrText xml:space="preserve"> PAGEREF _Toc179962766 \h </w:instrText>
            </w:r>
            <w:r>
              <w:rPr>
                <w:noProof/>
                <w:webHidden/>
              </w:rPr>
            </w:r>
            <w:r>
              <w:rPr>
                <w:noProof/>
                <w:webHidden/>
              </w:rPr>
              <w:fldChar w:fldCharType="separate"/>
            </w:r>
            <w:r w:rsidR="005E3595">
              <w:rPr>
                <w:noProof/>
                <w:webHidden/>
              </w:rPr>
              <w:t>7</w:t>
            </w:r>
            <w:r>
              <w:rPr>
                <w:noProof/>
                <w:webHidden/>
              </w:rPr>
              <w:fldChar w:fldCharType="end"/>
            </w:r>
          </w:hyperlink>
        </w:p>
        <w:p w14:paraId="603EC76C" w14:textId="503CD897" w:rsidR="00070A47" w:rsidRDefault="00070A47">
          <w:pPr>
            <w:pStyle w:val="TOC2"/>
            <w:tabs>
              <w:tab w:val="right" w:leader="dot" w:pos="9016"/>
            </w:tabs>
            <w:rPr>
              <w:rFonts w:eastAsiaTheme="minorEastAsia"/>
              <w:noProof/>
              <w:szCs w:val="24"/>
              <w:lang w:eastAsia="en-GB"/>
            </w:rPr>
          </w:pPr>
          <w:hyperlink w:anchor="_Toc179962767" w:history="1">
            <w:r w:rsidRPr="00283EE9">
              <w:rPr>
                <w:rStyle w:val="Hyperlink"/>
                <w:rFonts w:eastAsia="Calibri" w:cstheme="minorHAnsi"/>
                <w:noProof/>
                <w:lang w:val="en-US"/>
              </w:rPr>
              <w:t>Articulation</w:t>
            </w:r>
            <w:r>
              <w:rPr>
                <w:noProof/>
                <w:webHidden/>
              </w:rPr>
              <w:tab/>
            </w:r>
            <w:r>
              <w:rPr>
                <w:noProof/>
                <w:webHidden/>
              </w:rPr>
              <w:fldChar w:fldCharType="begin"/>
            </w:r>
            <w:r>
              <w:rPr>
                <w:noProof/>
                <w:webHidden/>
              </w:rPr>
              <w:instrText xml:space="preserve"> PAGEREF _Toc179962767 \h </w:instrText>
            </w:r>
            <w:r>
              <w:rPr>
                <w:noProof/>
                <w:webHidden/>
              </w:rPr>
            </w:r>
            <w:r>
              <w:rPr>
                <w:noProof/>
                <w:webHidden/>
              </w:rPr>
              <w:fldChar w:fldCharType="separate"/>
            </w:r>
            <w:r w:rsidR="005E3595">
              <w:rPr>
                <w:noProof/>
                <w:webHidden/>
              </w:rPr>
              <w:t>7</w:t>
            </w:r>
            <w:r>
              <w:rPr>
                <w:noProof/>
                <w:webHidden/>
              </w:rPr>
              <w:fldChar w:fldCharType="end"/>
            </w:r>
          </w:hyperlink>
        </w:p>
        <w:p w14:paraId="637569E0" w14:textId="50FC6A76" w:rsidR="00070A47" w:rsidRDefault="00070A47">
          <w:pPr>
            <w:pStyle w:val="TOC2"/>
            <w:tabs>
              <w:tab w:val="right" w:leader="dot" w:pos="9016"/>
            </w:tabs>
            <w:rPr>
              <w:rFonts w:eastAsiaTheme="minorEastAsia"/>
              <w:noProof/>
              <w:szCs w:val="24"/>
              <w:lang w:eastAsia="en-GB"/>
            </w:rPr>
          </w:pPr>
          <w:hyperlink w:anchor="_Toc179962768" w:history="1">
            <w:r w:rsidRPr="00283EE9">
              <w:rPr>
                <w:rStyle w:val="Hyperlink"/>
                <w:rFonts w:eastAsia="Calibri" w:cstheme="minorHAnsi"/>
                <w:noProof/>
                <w:lang w:val="en-US"/>
              </w:rPr>
              <w:t>University Graduate Outcomes</w:t>
            </w:r>
            <w:r>
              <w:rPr>
                <w:noProof/>
                <w:webHidden/>
              </w:rPr>
              <w:tab/>
            </w:r>
            <w:r>
              <w:rPr>
                <w:noProof/>
                <w:webHidden/>
              </w:rPr>
              <w:fldChar w:fldCharType="begin"/>
            </w:r>
            <w:r>
              <w:rPr>
                <w:noProof/>
                <w:webHidden/>
              </w:rPr>
              <w:instrText xml:space="preserve"> PAGEREF _Toc179962768 \h </w:instrText>
            </w:r>
            <w:r>
              <w:rPr>
                <w:noProof/>
                <w:webHidden/>
              </w:rPr>
            </w:r>
            <w:r>
              <w:rPr>
                <w:noProof/>
                <w:webHidden/>
              </w:rPr>
              <w:fldChar w:fldCharType="separate"/>
            </w:r>
            <w:r w:rsidR="005E3595">
              <w:rPr>
                <w:noProof/>
                <w:webHidden/>
              </w:rPr>
              <w:t>8</w:t>
            </w:r>
            <w:r>
              <w:rPr>
                <w:noProof/>
                <w:webHidden/>
              </w:rPr>
              <w:fldChar w:fldCharType="end"/>
            </w:r>
          </w:hyperlink>
        </w:p>
        <w:p w14:paraId="2A6BA8F1" w14:textId="04E067EB" w:rsidR="00070A47" w:rsidRDefault="00070A47">
          <w:pPr>
            <w:pStyle w:val="TOC2"/>
            <w:tabs>
              <w:tab w:val="right" w:leader="dot" w:pos="9016"/>
            </w:tabs>
            <w:rPr>
              <w:rFonts w:eastAsiaTheme="minorEastAsia"/>
              <w:noProof/>
              <w:szCs w:val="24"/>
              <w:lang w:eastAsia="en-GB"/>
            </w:rPr>
          </w:pPr>
          <w:hyperlink w:anchor="_Toc179962769" w:history="1">
            <w:r w:rsidRPr="00283EE9">
              <w:rPr>
                <w:rStyle w:val="Hyperlink"/>
                <w:rFonts w:eastAsia="Calibri" w:cstheme="minorHAnsi"/>
                <w:noProof/>
                <w:lang w:val="en-US"/>
              </w:rPr>
              <w:t>Data specifics</w:t>
            </w:r>
            <w:r>
              <w:rPr>
                <w:noProof/>
                <w:webHidden/>
              </w:rPr>
              <w:tab/>
            </w:r>
            <w:r>
              <w:rPr>
                <w:noProof/>
                <w:webHidden/>
              </w:rPr>
              <w:fldChar w:fldCharType="begin"/>
            </w:r>
            <w:r>
              <w:rPr>
                <w:noProof/>
                <w:webHidden/>
              </w:rPr>
              <w:instrText xml:space="preserve"> PAGEREF _Toc179962769 \h </w:instrText>
            </w:r>
            <w:r>
              <w:rPr>
                <w:noProof/>
                <w:webHidden/>
              </w:rPr>
            </w:r>
            <w:r>
              <w:rPr>
                <w:noProof/>
                <w:webHidden/>
              </w:rPr>
              <w:fldChar w:fldCharType="separate"/>
            </w:r>
            <w:r w:rsidR="005E3595">
              <w:rPr>
                <w:noProof/>
                <w:webHidden/>
              </w:rPr>
              <w:t>8</w:t>
            </w:r>
            <w:r>
              <w:rPr>
                <w:noProof/>
                <w:webHidden/>
              </w:rPr>
              <w:fldChar w:fldCharType="end"/>
            </w:r>
          </w:hyperlink>
        </w:p>
        <w:p w14:paraId="7F3CF4F9" w14:textId="74059B0D" w:rsidR="00070A47" w:rsidRDefault="00070A47">
          <w:pPr>
            <w:pStyle w:val="TOC2"/>
            <w:tabs>
              <w:tab w:val="right" w:leader="dot" w:pos="9016"/>
            </w:tabs>
            <w:rPr>
              <w:rFonts w:eastAsiaTheme="minorEastAsia"/>
              <w:noProof/>
              <w:szCs w:val="24"/>
              <w:lang w:eastAsia="en-GB"/>
            </w:rPr>
          </w:pPr>
          <w:hyperlink w:anchor="_Toc179962770" w:history="1">
            <w:r w:rsidRPr="00283EE9">
              <w:rPr>
                <w:rStyle w:val="Hyperlink"/>
                <w:rFonts w:eastAsia="Calibri"/>
                <w:noProof/>
                <w:lang w:val="en-US"/>
              </w:rPr>
              <w:t>Other protected characteristics</w:t>
            </w:r>
            <w:r>
              <w:rPr>
                <w:noProof/>
                <w:webHidden/>
              </w:rPr>
              <w:tab/>
            </w:r>
            <w:r>
              <w:rPr>
                <w:noProof/>
                <w:webHidden/>
              </w:rPr>
              <w:fldChar w:fldCharType="begin"/>
            </w:r>
            <w:r>
              <w:rPr>
                <w:noProof/>
                <w:webHidden/>
              </w:rPr>
              <w:instrText xml:space="preserve"> PAGEREF _Toc179962770 \h </w:instrText>
            </w:r>
            <w:r>
              <w:rPr>
                <w:noProof/>
                <w:webHidden/>
              </w:rPr>
            </w:r>
            <w:r>
              <w:rPr>
                <w:noProof/>
                <w:webHidden/>
              </w:rPr>
              <w:fldChar w:fldCharType="separate"/>
            </w:r>
            <w:r w:rsidR="005E3595">
              <w:rPr>
                <w:noProof/>
                <w:webHidden/>
              </w:rPr>
              <w:t>9</w:t>
            </w:r>
            <w:r>
              <w:rPr>
                <w:noProof/>
                <w:webHidden/>
              </w:rPr>
              <w:fldChar w:fldCharType="end"/>
            </w:r>
          </w:hyperlink>
        </w:p>
        <w:p w14:paraId="608EE2F9" w14:textId="04AB5D87" w:rsidR="00070A47" w:rsidRDefault="00070A47">
          <w:pPr>
            <w:pStyle w:val="TOC2"/>
            <w:tabs>
              <w:tab w:val="right" w:leader="dot" w:pos="9016"/>
            </w:tabs>
            <w:rPr>
              <w:rFonts w:eastAsiaTheme="minorEastAsia"/>
              <w:noProof/>
              <w:szCs w:val="24"/>
              <w:lang w:eastAsia="en-GB"/>
            </w:rPr>
          </w:pPr>
          <w:hyperlink w:anchor="_Toc179962771" w:history="1">
            <w:r w:rsidRPr="00283EE9">
              <w:rPr>
                <w:rStyle w:val="Hyperlink"/>
                <w:rFonts w:eastAsia="Calibri" w:cstheme="minorHAnsi"/>
                <w:noProof/>
                <w:lang w:val="en-US"/>
              </w:rPr>
              <w:t>Metadata table</w:t>
            </w:r>
            <w:r>
              <w:rPr>
                <w:noProof/>
                <w:webHidden/>
              </w:rPr>
              <w:tab/>
            </w:r>
            <w:r>
              <w:rPr>
                <w:noProof/>
                <w:webHidden/>
              </w:rPr>
              <w:fldChar w:fldCharType="begin"/>
            </w:r>
            <w:r>
              <w:rPr>
                <w:noProof/>
                <w:webHidden/>
              </w:rPr>
              <w:instrText xml:space="preserve"> PAGEREF _Toc179962771 \h </w:instrText>
            </w:r>
            <w:r>
              <w:rPr>
                <w:noProof/>
                <w:webHidden/>
              </w:rPr>
            </w:r>
            <w:r>
              <w:rPr>
                <w:noProof/>
                <w:webHidden/>
              </w:rPr>
              <w:fldChar w:fldCharType="separate"/>
            </w:r>
            <w:r w:rsidR="005E3595">
              <w:rPr>
                <w:noProof/>
                <w:webHidden/>
              </w:rPr>
              <w:t>11</w:t>
            </w:r>
            <w:r>
              <w:rPr>
                <w:noProof/>
                <w:webHidden/>
              </w:rPr>
              <w:fldChar w:fldCharType="end"/>
            </w:r>
          </w:hyperlink>
        </w:p>
        <w:p w14:paraId="30FDC523" w14:textId="64A667A9" w:rsidR="0017495C" w:rsidRDefault="0017495C">
          <w:r>
            <w:rPr>
              <w:b/>
              <w:bCs/>
            </w:rPr>
            <w:fldChar w:fldCharType="end"/>
          </w:r>
        </w:p>
      </w:sdtContent>
    </w:sdt>
    <w:p w14:paraId="1BEEABD9" w14:textId="0EF97F62" w:rsidR="0017495C" w:rsidRDefault="0017495C">
      <w:pPr>
        <w:spacing w:after="0" w:line="240" w:lineRule="auto"/>
      </w:pPr>
    </w:p>
    <w:p w14:paraId="2B3A7A8C" w14:textId="77777777" w:rsidR="0054467E" w:rsidRPr="00BC5875" w:rsidRDefault="0054467E" w:rsidP="00BA648F"/>
    <w:p w14:paraId="3D4CF790" w14:textId="290E9B55" w:rsidR="00FC781F" w:rsidRPr="00BC5875" w:rsidRDefault="00E70F64" w:rsidP="004E7E05">
      <w:pPr>
        <w:pStyle w:val="Annex"/>
      </w:pPr>
      <w:bookmarkStart w:id="7" w:name="_Toc106620341"/>
      <w:bookmarkStart w:id="8" w:name="_Toc106620459"/>
      <w:bookmarkStart w:id="9" w:name="_Toc107310528"/>
      <w:bookmarkStart w:id="10" w:name="_Toc179962758"/>
      <w:bookmarkEnd w:id="5"/>
      <w:bookmarkEnd w:id="6"/>
      <w:r w:rsidRPr="00BC5875">
        <w:lastRenderedPageBreak/>
        <w:t xml:space="preserve">Annex </w:t>
      </w:r>
      <w:bookmarkEnd w:id="7"/>
      <w:bookmarkEnd w:id="8"/>
      <w:bookmarkEnd w:id="9"/>
      <w:r w:rsidR="0017495C">
        <w:t>A</w:t>
      </w:r>
      <w:r w:rsidR="00FC781F" w:rsidRPr="00BC5875">
        <w:t xml:space="preserve"> </w:t>
      </w:r>
      <w:r w:rsidR="0017495C">
        <w:t xml:space="preserve">– </w:t>
      </w:r>
      <w:r w:rsidR="001B3629" w:rsidRPr="001B3629">
        <w:t>Scottish Government Targets and Related Measures</w:t>
      </w:r>
      <w:bookmarkEnd w:id="10"/>
    </w:p>
    <w:p w14:paraId="750A6AA8" w14:textId="464DF344" w:rsidR="001B3629" w:rsidRPr="001B3629" w:rsidRDefault="001B3629" w:rsidP="00807306">
      <w:pPr>
        <w:pStyle w:val="Numbering"/>
        <w:numPr>
          <w:ilvl w:val="0"/>
          <w:numId w:val="12"/>
        </w:numPr>
      </w:pPr>
      <w:r w:rsidRPr="001B3629">
        <w:t xml:space="preserve">This section presents data for the Scottish Government access targets as recommended in the Final Report of the Commission on Widening Access. It should be noted that the Commission’s </w:t>
      </w:r>
      <w:hyperlink r:id="rId21" w:history="1">
        <w:r w:rsidRPr="006330CE">
          <w:rPr>
            <w:rStyle w:val="Hyperlink"/>
            <w:szCs w:val="24"/>
          </w:rPr>
          <w:t>final report</w:t>
        </w:r>
      </w:hyperlink>
      <w:r w:rsidRPr="001B3629">
        <w:t xml:space="preserve"> was not published, and the targets accepted by Scottish Government, until later during the 2016-17 admission cycle. This means the initial impact of the Commission’s recommendations and targets were not apparent in entrant data until 2017-18 and so that academic year was the first in which the impact of this work can be observed. Data from academic years prior to 2017-18 should be viewed as baselines for access targets. </w:t>
      </w:r>
    </w:p>
    <w:p w14:paraId="2BAAB4DB" w14:textId="0C14D4D4" w:rsidR="001B3629" w:rsidRPr="001B3629" w:rsidRDefault="001B3629" w:rsidP="001B3629">
      <w:pPr>
        <w:pStyle w:val="Heading2"/>
        <w:rPr>
          <w:rFonts w:cstheme="minorHAnsi"/>
        </w:rPr>
      </w:pPr>
      <w:bookmarkStart w:id="11" w:name="_Toc140574521"/>
      <w:bookmarkStart w:id="12" w:name="_Toc179962759"/>
      <w:r w:rsidRPr="001B3629">
        <w:rPr>
          <w:rFonts w:eastAsia="Calibri" w:cstheme="minorHAnsi"/>
          <w:lang w:val="en-US"/>
        </w:rPr>
        <w:t>C</w:t>
      </w:r>
      <w:r>
        <w:rPr>
          <w:rFonts w:eastAsia="Calibri" w:cstheme="minorHAnsi"/>
          <w:lang w:val="en-US"/>
        </w:rPr>
        <w:t>O</w:t>
      </w:r>
      <w:r w:rsidRPr="001B3629">
        <w:rPr>
          <w:rFonts w:eastAsia="Calibri" w:cstheme="minorHAnsi"/>
          <w:lang w:val="en-US"/>
        </w:rPr>
        <w:t>WA Recommendation 32</w:t>
      </w:r>
      <w:bookmarkEnd w:id="11"/>
      <w:bookmarkEnd w:id="12"/>
      <w:r w:rsidRPr="001B3629">
        <w:rPr>
          <w:rFonts w:eastAsia="Calibri" w:cstheme="minorHAnsi"/>
          <w:lang w:val="en-US"/>
        </w:rPr>
        <w:t xml:space="preserve"> </w:t>
      </w:r>
    </w:p>
    <w:p w14:paraId="4EE8F8EB" w14:textId="77777777" w:rsidR="001B3629" w:rsidRPr="001B3629" w:rsidRDefault="001B3629" w:rsidP="00807306">
      <w:pPr>
        <w:pStyle w:val="Numbering"/>
        <w:numPr>
          <w:ilvl w:val="0"/>
          <w:numId w:val="12"/>
        </w:numPr>
      </w:pPr>
      <w:r w:rsidRPr="001B3629">
        <w:t xml:space="preserve">Recommendation 32 states that: </w:t>
      </w:r>
    </w:p>
    <w:p w14:paraId="5AA23486" w14:textId="77777777" w:rsidR="001B3629" w:rsidRPr="001B3629" w:rsidRDefault="001B3629" w:rsidP="001B3629">
      <w:pPr>
        <w:pStyle w:val="Bullets"/>
        <w:widowControl w:val="0"/>
        <w:tabs>
          <w:tab w:val="left" w:pos="567"/>
        </w:tabs>
        <w:spacing w:after="200" w:line="240" w:lineRule="auto"/>
        <w:rPr>
          <w:rFonts w:eastAsia="Calibri"/>
          <w:lang w:val="en-US"/>
        </w:rPr>
      </w:pPr>
      <w:r w:rsidRPr="001B3629">
        <w:rPr>
          <w:rFonts w:eastAsia="Calibri"/>
          <w:lang w:val="en-US"/>
        </w:rPr>
        <w:t xml:space="preserve">By 2030, students from the 20% most deprived backgrounds should represent 20% of entrants to higher education. Equality of access should be seen in the college and university sectors. </w:t>
      </w:r>
    </w:p>
    <w:p w14:paraId="1BC5DAC3" w14:textId="77777777" w:rsidR="001B3629" w:rsidRPr="001B3629" w:rsidRDefault="001B3629" w:rsidP="00807306">
      <w:pPr>
        <w:pStyle w:val="Numbering"/>
        <w:numPr>
          <w:ilvl w:val="0"/>
          <w:numId w:val="12"/>
        </w:numPr>
      </w:pPr>
      <w:r w:rsidRPr="001B3629">
        <w:t>And that to drive progress towards this goal:</w:t>
      </w:r>
    </w:p>
    <w:p w14:paraId="10663BC4" w14:textId="77777777" w:rsidR="001B3629" w:rsidRPr="001B3629" w:rsidRDefault="001B3629" w:rsidP="001B3629">
      <w:pPr>
        <w:pStyle w:val="Bullets"/>
        <w:widowControl w:val="0"/>
        <w:tabs>
          <w:tab w:val="left" w:pos="567"/>
        </w:tabs>
        <w:spacing w:after="200" w:line="240" w:lineRule="auto"/>
        <w:rPr>
          <w:rFonts w:eastAsia="Calibri"/>
          <w:lang w:val="en-US"/>
        </w:rPr>
      </w:pPr>
      <w:r w:rsidRPr="001B3629">
        <w:rPr>
          <w:rFonts w:eastAsia="Calibri"/>
          <w:lang w:val="en-US"/>
        </w:rPr>
        <w:t xml:space="preserve">By 2021, students from the 20% most deprived backgrounds should represent, at least, 16% of full-time </w:t>
      </w:r>
      <w:r w:rsidRPr="001B3629" w:rsidDel="0ED721A8">
        <w:rPr>
          <w:rFonts w:eastAsia="Calibri"/>
          <w:lang w:val="en-US"/>
        </w:rPr>
        <w:t>first</w:t>
      </w:r>
      <w:r w:rsidRPr="001B3629">
        <w:rPr>
          <w:rFonts w:eastAsia="Calibri"/>
          <w:lang w:val="en-US"/>
        </w:rPr>
        <w:t xml:space="preserve">-degree entrants to Scottish universities as a whole. </w:t>
      </w:r>
    </w:p>
    <w:p w14:paraId="3D0F8846" w14:textId="77777777" w:rsidR="001B3629" w:rsidRPr="001B3629" w:rsidRDefault="001B3629" w:rsidP="001B3629">
      <w:pPr>
        <w:pStyle w:val="Bullets"/>
        <w:widowControl w:val="0"/>
        <w:tabs>
          <w:tab w:val="left" w:pos="567"/>
        </w:tabs>
        <w:spacing w:after="200" w:line="240" w:lineRule="auto"/>
        <w:rPr>
          <w:rFonts w:eastAsia="Calibri"/>
          <w:lang w:val="en-US"/>
        </w:rPr>
      </w:pPr>
      <w:r w:rsidRPr="001B3629">
        <w:rPr>
          <w:rFonts w:eastAsia="Calibri"/>
          <w:lang w:val="en-US"/>
        </w:rPr>
        <w:t xml:space="preserve">By 2026, students from the 20% most deprived backgrounds should represent, at least, 18% of full-time </w:t>
      </w:r>
      <w:r w:rsidRPr="001B3629" w:rsidDel="0ED721A8">
        <w:rPr>
          <w:rFonts w:eastAsia="Calibri"/>
          <w:lang w:val="en-US"/>
        </w:rPr>
        <w:t>first</w:t>
      </w:r>
      <w:r w:rsidRPr="001B3629">
        <w:rPr>
          <w:rFonts w:eastAsia="Calibri"/>
          <w:lang w:val="en-US"/>
        </w:rPr>
        <w:t xml:space="preserve">-degree entrants to Scottish universities as a whole. </w:t>
      </w:r>
    </w:p>
    <w:p w14:paraId="17EBB681" w14:textId="21E1C0FC" w:rsidR="001B3629" w:rsidRPr="001B3629" w:rsidRDefault="001B3629" w:rsidP="00807306">
      <w:pPr>
        <w:pStyle w:val="Numbering"/>
        <w:numPr>
          <w:ilvl w:val="0"/>
          <w:numId w:val="12"/>
        </w:numPr>
      </w:pPr>
      <w:r w:rsidRPr="001B3629">
        <w:t>Relating to the C</w:t>
      </w:r>
      <w:r w:rsidR="001F13BC">
        <w:t>O</w:t>
      </w:r>
      <w:r w:rsidRPr="001B3629">
        <w:t xml:space="preserve">WA target for individual universities: </w:t>
      </w:r>
    </w:p>
    <w:p w14:paraId="48C53ADF" w14:textId="77777777" w:rsidR="001B3629" w:rsidRPr="001B3629" w:rsidRDefault="001B3629" w:rsidP="001B3629">
      <w:pPr>
        <w:pStyle w:val="Bullets"/>
        <w:widowControl w:val="0"/>
        <w:tabs>
          <w:tab w:val="left" w:pos="567"/>
        </w:tabs>
        <w:spacing w:after="200" w:line="240" w:lineRule="auto"/>
        <w:rPr>
          <w:rFonts w:eastAsia="Calibri"/>
          <w:lang w:val="en-US"/>
        </w:rPr>
      </w:pPr>
      <w:r w:rsidRPr="001B3629">
        <w:rPr>
          <w:rFonts w:eastAsia="Calibri"/>
          <w:lang w:val="en-US"/>
        </w:rPr>
        <w:t xml:space="preserve">By 2021, students from the 20% most deprived backgrounds should represent at least 10% of full-time </w:t>
      </w:r>
      <w:r w:rsidRPr="001B3629" w:rsidDel="0ED721A8">
        <w:rPr>
          <w:rFonts w:eastAsia="Calibri"/>
          <w:lang w:val="en-US"/>
        </w:rPr>
        <w:t>first</w:t>
      </w:r>
      <w:r w:rsidRPr="001B3629">
        <w:rPr>
          <w:rFonts w:eastAsia="Calibri"/>
          <w:lang w:val="en-US"/>
        </w:rPr>
        <w:t xml:space="preserve">-degree entrants to every individual Scottish university. </w:t>
      </w:r>
    </w:p>
    <w:p w14:paraId="517045D7" w14:textId="311ABC08" w:rsidR="001B3629" w:rsidRDefault="001B3629" w:rsidP="00807306">
      <w:pPr>
        <w:pStyle w:val="Numbering"/>
        <w:numPr>
          <w:ilvl w:val="0"/>
          <w:numId w:val="12"/>
        </w:numPr>
      </w:pPr>
      <w:r w:rsidRPr="001B3629">
        <w:t>The tables</w:t>
      </w:r>
      <w:r w:rsidR="00F63F10">
        <w:t xml:space="preserve"> in this publication</w:t>
      </w:r>
      <w:r w:rsidRPr="001B3629">
        <w:t xml:space="preserve"> show national performance of these measures using the latest </w:t>
      </w:r>
      <w:r w:rsidR="00807306">
        <w:t>ten</w:t>
      </w:r>
      <w:r w:rsidRPr="001B3629">
        <w:t xml:space="preserve"> years of data. For the C</w:t>
      </w:r>
      <w:r w:rsidR="001F13BC">
        <w:t>O</w:t>
      </w:r>
      <w:r w:rsidRPr="001B3629">
        <w:t>WA targets, “all undergraduate HE” includes all entrants to undergraduate HE courses at college and university. The background tables show these figures broken down by institution.</w:t>
      </w:r>
    </w:p>
    <w:p w14:paraId="2C88C192" w14:textId="77777777" w:rsidR="00BA7D3E" w:rsidRDefault="00BA7D3E" w:rsidP="00807306">
      <w:pPr>
        <w:pStyle w:val="Numbering"/>
        <w:numPr>
          <w:ilvl w:val="0"/>
          <w:numId w:val="0"/>
        </w:numPr>
        <w:ind w:left="360"/>
      </w:pPr>
    </w:p>
    <w:p w14:paraId="4904B8C7" w14:textId="08733A96" w:rsidR="00BA7D3E" w:rsidRPr="00BC5875" w:rsidRDefault="00BA7D3E" w:rsidP="00BA7D3E">
      <w:pPr>
        <w:pStyle w:val="Annex"/>
      </w:pPr>
      <w:bookmarkStart w:id="13" w:name="_Toc179962760"/>
      <w:r>
        <w:lastRenderedPageBreak/>
        <w:t xml:space="preserve">Annex B – </w:t>
      </w:r>
      <w:r w:rsidR="5F91A916">
        <w:t xml:space="preserve">SFC </w:t>
      </w:r>
      <w:r>
        <w:t>Definition of Care Experience</w:t>
      </w:r>
      <w:bookmarkEnd w:id="13"/>
    </w:p>
    <w:p w14:paraId="07BB2D27" w14:textId="20C4C12D" w:rsidR="00BA7D3E" w:rsidRPr="001B3629" w:rsidRDefault="00BA7D3E" w:rsidP="00807306">
      <w:pPr>
        <w:pStyle w:val="Numbering"/>
        <w:numPr>
          <w:ilvl w:val="0"/>
          <w:numId w:val="12"/>
        </w:numPr>
      </w:pPr>
      <w:r>
        <w:t>SFC considers a wider group of individuals than the legal definitions of ‘looked-after’ and ‘care leaver’ when referring to care</w:t>
      </w:r>
      <w:r w:rsidR="6CCD8228">
        <w:t xml:space="preserve"> </w:t>
      </w:r>
      <w:r>
        <w:t xml:space="preserve">experience for data collection purposes in order to capture all age groups, all nationalities, and all those who have been in care or </w:t>
      </w:r>
      <w:r w:rsidR="00211984">
        <w:br/>
      </w:r>
      <w:r>
        <w:t>looked-after during their childhood even if it were for a short period of time. SFC defines ‘care</w:t>
      </w:r>
      <w:r w:rsidR="30260BC2">
        <w:t xml:space="preserve"> </w:t>
      </w:r>
      <w:r>
        <w:t>experienced’ as anyone who has been or is currently in care or from a looked-after background at any stage of their life, no matter how short. This care may have been provided in one of many different settings such as in residential care, foster care, kinship care or looked after at home with a supervision requirement. This care may have been provided in one of many different settings, such as in residential care, foster care, kinship care or through being looked after at home with a supervision requirement. SFC has a national ambition for care</w:t>
      </w:r>
      <w:r w:rsidR="005B3C81">
        <w:t xml:space="preserve"> </w:t>
      </w:r>
      <w:r>
        <w:t xml:space="preserve">experienced students to have equal outcomes with their peers by 2030. More information can be found in SFC’s </w:t>
      </w:r>
      <w:hyperlink r:id="rId22">
        <w:r w:rsidRPr="006330CE">
          <w:rPr>
            <w:rStyle w:val="Hyperlink"/>
            <w:szCs w:val="24"/>
          </w:rPr>
          <w:t>National Ambition for Care Experience Students</w:t>
        </w:r>
      </w:hyperlink>
      <w:r w:rsidRPr="006330CE">
        <w:rPr>
          <w:szCs w:val="24"/>
        </w:rPr>
        <w:t xml:space="preserve"> </w:t>
      </w:r>
      <w:r>
        <w:t xml:space="preserve">report. </w:t>
      </w:r>
    </w:p>
    <w:p w14:paraId="65ADEC7D" w14:textId="6249BBC8" w:rsidR="004B7E7A" w:rsidRDefault="004B7E7A" w:rsidP="00D2096F">
      <w:pPr>
        <w:pStyle w:val="Annex"/>
      </w:pPr>
      <w:bookmarkStart w:id="14" w:name="_Toc179962761"/>
      <w:r>
        <w:lastRenderedPageBreak/>
        <w:t xml:space="preserve">Annex </w:t>
      </w:r>
      <w:r w:rsidR="00BA7D3E">
        <w:t>C</w:t>
      </w:r>
      <w:r>
        <w:t xml:space="preserve">: </w:t>
      </w:r>
      <w:r w:rsidR="00D2096F">
        <w:rPr>
          <w:lang w:val="en-GB"/>
        </w:rPr>
        <w:t>Report Contents and Coverage</w:t>
      </w:r>
      <w:bookmarkEnd w:id="14"/>
    </w:p>
    <w:p w14:paraId="75E8B228" w14:textId="77777777" w:rsidR="00D2096F" w:rsidRPr="00B06EBF" w:rsidRDefault="00D2096F" w:rsidP="00D2096F">
      <w:pPr>
        <w:pStyle w:val="Heading2"/>
        <w:rPr>
          <w:rFonts w:cstheme="minorHAnsi"/>
        </w:rPr>
      </w:pPr>
      <w:bookmarkStart w:id="15" w:name="_Toc140574539"/>
      <w:bookmarkStart w:id="16" w:name="_Toc179962762"/>
      <w:r w:rsidRPr="007556C2">
        <w:rPr>
          <w:rFonts w:eastAsia="Calibri" w:cstheme="minorHAnsi"/>
          <w:lang w:val="en-US"/>
        </w:rPr>
        <w:t>University entrants</w:t>
      </w:r>
      <w:bookmarkEnd w:id="15"/>
      <w:bookmarkEnd w:id="16"/>
      <w:r w:rsidRPr="007556C2">
        <w:rPr>
          <w:rFonts w:eastAsia="Calibri" w:cstheme="minorHAnsi"/>
          <w:lang w:val="en-US"/>
        </w:rPr>
        <w:t xml:space="preserve"> </w:t>
      </w:r>
    </w:p>
    <w:p w14:paraId="7B078DFB" w14:textId="77777777" w:rsidR="00D2096F" w:rsidRPr="00320415" w:rsidRDefault="00D2096F" w:rsidP="00807306">
      <w:pPr>
        <w:pStyle w:val="Numbering"/>
        <w:numPr>
          <w:ilvl w:val="0"/>
          <w:numId w:val="12"/>
        </w:numPr>
      </w:pPr>
      <w:r w:rsidRPr="30AFF2D1">
        <w:t xml:space="preserve">The Commission on Widening Access covers all higher education but pays specific attention to Scottish domiciled full-time first-degree (FTFD) entrants to university and is the main group of university students of focus in this report. </w:t>
      </w:r>
    </w:p>
    <w:p w14:paraId="6BDED449" w14:textId="74A3D254" w:rsidR="00D2096F" w:rsidRPr="00320415" w:rsidRDefault="00D2096F" w:rsidP="00807306">
      <w:pPr>
        <w:pStyle w:val="Numbering"/>
        <w:numPr>
          <w:ilvl w:val="0"/>
          <w:numId w:val="12"/>
        </w:numPr>
      </w:pPr>
      <w:r w:rsidRPr="30AFF2D1">
        <w:t>There is, of course, a variety of additional activity provided by universities to students out</w:t>
      </w:r>
      <w:r>
        <w:t>-</w:t>
      </w:r>
      <w:r w:rsidRPr="30AFF2D1">
        <w:t xml:space="preserve">with this group. Further details on these groups, where not shown in this report, are available in the background tables online or by request. This definition of sub-degree provision is used here in line with the provision included </w:t>
      </w:r>
      <w:r w:rsidRPr="00807306">
        <w:t xml:space="preserve">in the </w:t>
      </w:r>
      <w:hyperlink r:id="rId23">
        <w:r w:rsidRPr="006330CE">
          <w:rPr>
            <w:rStyle w:val="Hyperlink"/>
            <w:szCs w:val="24"/>
          </w:rPr>
          <w:t>SFC Outcome Agreement definition</w:t>
        </w:r>
      </w:hyperlink>
      <w:r w:rsidRPr="00807306">
        <w:t xml:space="preserve"> of students. However, as this report covers all activity in the sector the numbers will vary from the reported </w:t>
      </w:r>
      <w:hyperlink r:id="rId24">
        <w:r w:rsidRPr="006330CE">
          <w:rPr>
            <w:rStyle w:val="Hyperlink"/>
            <w:szCs w:val="24"/>
          </w:rPr>
          <w:t>Outcome Agreement figures</w:t>
        </w:r>
      </w:hyperlink>
      <w:r w:rsidRPr="00807306">
        <w:t xml:space="preserve"> as the data in this report includes the Open</w:t>
      </w:r>
      <w:r w:rsidRPr="30AFF2D1">
        <w:t xml:space="preserve"> University whereas the O</w:t>
      </w:r>
      <w:r w:rsidR="00551C55">
        <w:t>utcome Agreement</w:t>
      </w:r>
      <w:r w:rsidRPr="30AFF2D1">
        <w:t xml:space="preserve"> measures do not. </w:t>
      </w:r>
    </w:p>
    <w:p w14:paraId="5E82E955" w14:textId="77777777" w:rsidR="00D2096F" w:rsidRPr="007556C2" w:rsidRDefault="00D2096F" w:rsidP="00807306">
      <w:pPr>
        <w:pStyle w:val="Numbering"/>
        <w:numPr>
          <w:ilvl w:val="0"/>
          <w:numId w:val="12"/>
        </w:numPr>
      </w:pPr>
      <w:r w:rsidRPr="30AFF2D1">
        <w:t>“Sub-degree” for this purpose includes the following qualifications:</w:t>
      </w:r>
    </w:p>
    <w:p w14:paraId="5F3E429C" w14:textId="77D5ABB3" w:rsidR="00D2096F"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Certificate of Higher Education (CertHE)</w:t>
      </w:r>
      <w:r w:rsidR="004F24C6">
        <w:rPr>
          <w:rFonts w:eastAsia="Calibri"/>
          <w:lang w:val="en-US"/>
        </w:rPr>
        <w:t>.</w:t>
      </w:r>
    </w:p>
    <w:p w14:paraId="49D6B97B" w14:textId="7AAD42D4" w:rsidR="00BD3CE6" w:rsidRPr="00BD3CE6" w:rsidRDefault="00BD3CE6" w:rsidP="00BD3CE6">
      <w:pPr>
        <w:pStyle w:val="Bullets"/>
        <w:widowControl w:val="0"/>
        <w:tabs>
          <w:tab w:val="left" w:pos="567"/>
        </w:tabs>
        <w:spacing w:after="200" w:line="240" w:lineRule="auto"/>
        <w:rPr>
          <w:rFonts w:eastAsia="Calibri"/>
          <w:lang w:val="en-US"/>
        </w:rPr>
      </w:pPr>
      <w:r w:rsidRPr="1F48444C">
        <w:rPr>
          <w:rFonts w:eastAsia="Calibri"/>
          <w:lang w:val="en-US"/>
        </w:rPr>
        <w:t>Diploma of Higher Education (DipHE)</w:t>
      </w:r>
      <w:r w:rsidR="00551C55">
        <w:rPr>
          <w:rFonts w:eastAsia="Calibri"/>
          <w:lang w:val="en-US"/>
        </w:rPr>
        <w:t>.</w:t>
      </w:r>
      <w:r>
        <w:rPr>
          <w:rStyle w:val="FootnoteReference"/>
          <w:rFonts w:eastAsia="Calibri"/>
          <w:lang w:val="en-US"/>
        </w:rPr>
        <w:footnoteReference w:id="2"/>
      </w:r>
    </w:p>
    <w:p w14:paraId="728E479D" w14:textId="4A4C70ED"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Higher National Certificate (HNC)</w:t>
      </w:r>
      <w:r w:rsidR="004F24C6">
        <w:rPr>
          <w:rFonts w:eastAsia="Calibri"/>
          <w:lang w:val="en-US"/>
        </w:rPr>
        <w:t>.</w:t>
      </w:r>
    </w:p>
    <w:p w14:paraId="5920F8EC" w14:textId="71950937" w:rsidR="00D2096F" w:rsidRPr="00320415"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Higher National Diploma (HND)</w:t>
      </w:r>
      <w:r w:rsidR="004F24C6">
        <w:rPr>
          <w:rFonts w:eastAsia="Calibri"/>
          <w:lang w:val="en-US"/>
        </w:rPr>
        <w:t>.</w:t>
      </w:r>
    </w:p>
    <w:p w14:paraId="60FA5DBC" w14:textId="77777777" w:rsidR="00D2096F" w:rsidRPr="00D45EF4" w:rsidRDefault="00D2096F" w:rsidP="00807306">
      <w:pPr>
        <w:pStyle w:val="Numbering"/>
        <w:numPr>
          <w:ilvl w:val="0"/>
          <w:numId w:val="12"/>
        </w:numPr>
      </w:pPr>
      <w:r w:rsidRPr="30AFF2D1">
        <w:t>Activity is measured in enrolments.</w:t>
      </w:r>
    </w:p>
    <w:p w14:paraId="7FEAD3A1" w14:textId="77777777" w:rsidR="00D2096F" w:rsidRPr="00B06EBF" w:rsidRDefault="00D2096F" w:rsidP="00D2096F">
      <w:pPr>
        <w:pStyle w:val="Heading2"/>
        <w:rPr>
          <w:rFonts w:cstheme="minorHAnsi"/>
        </w:rPr>
      </w:pPr>
      <w:bookmarkStart w:id="17" w:name="_Toc140574540"/>
      <w:bookmarkStart w:id="18" w:name="_Toc179962763"/>
      <w:r w:rsidRPr="007556C2">
        <w:rPr>
          <w:rFonts w:eastAsia="Calibri" w:cstheme="minorHAnsi"/>
          <w:lang w:val="en-US"/>
        </w:rPr>
        <w:t>College entrants</w:t>
      </w:r>
      <w:bookmarkEnd w:id="17"/>
      <w:bookmarkEnd w:id="18"/>
      <w:r w:rsidRPr="007556C2">
        <w:rPr>
          <w:rFonts w:eastAsia="Calibri" w:cstheme="minorHAnsi"/>
          <w:lang w:val="en-US"/>
        </w:rPr>
        <w:t xml:space="preserve"> </w:t>
      </w:r>
    </w:p>
    <w:p w14:paraId="6EC5BBA0" w14:textId="316DB49C" w:rsidR="00D2096F" w:rsidRPr="00320415" w:rsidRDefault="00D2096F" w:rsidP="00807306">
      <w:pPr>
        <w:pStyle w:val="Numbering"/>
        <w:numPr>
          <w:ilvl w:val="0"/>
          <w:numId w:val="12"/>
        </w:numPr>
      </w:pPr>
      <w:r w:rsidRPr="30AFF2D1">
        <w:t xml:space="preserve">College student activity can be measured in a number of different ways, and a full explanation of these measurements can be found in </w:t>
      </w:r>
      <w:r w:rsidRPr="00BD3CE6">
        <w:t xml:space="preserve">SFC’s </w:t>
      </w:r>
      <w:hyperlink r:id="rId25" w:history="1">
        <w:r w:rsidRPr="006330CE">
          <w:rPr>
            <w:rStyle w:val="Hyperlink"/>
            <w:szCs w:val="24"/>
          </w:rPr>
          <w:t>College Statistics Report for 2022-23</w:t>
        </w:r>
      </w:hyperlink>
      <w:r w:rsidRPr="00BD3CE6">
        <w:t>. College</w:t>
      </w:r>
      <w:r w:rsidRPr="30AFF2D1">
        <w:t xml:space="preserve"> data here are shown only in enrolments. The college data within this report include</w:t>
      </w:r>
      <w:r w:rsidR="00BD3CE6">
        <w:t>s Scottish-domiciled entrants</w:t>
      </w:r>
      <w:r w:rsidRPr="30AFF2D1">
        <w:t xml:space="preserve"> only and are shown by full</w:t>
      </w:r>
      <w:r w:rsidR="00BD3CE6">
        <w:t>-time</w:t>
      </w:r>
      <w:r w:rsidRPr="30AFF2D1">
        <w:t xml:space="preserve"> and </w:t>
      </w:r>
      <w:r w:rsidR="006330CE">
        <w:br/>
      </w:r>
      <w:r w:rsidRPr="30AFF2D1">
        <w:t xml:space="preserve">part-time activity at HE and FE level. </w:t>
      </w:r>
    </w:p>
    <w:p w14:paraId="32BBD7F2" w14:textId="7AB0479E" w:rsidR="00D2096F" w:rsidRPr="007556C2" w:rsidRDefault="00D2096F" w:rsidP="00807306">
      <w:pPr>
        <w:pStyle w:val="Numbering"/>
        <w:numPr>
          <w:ilvl w:val="0"/>
          <w:numId w:val="12"/>
        </w:numPr>
      </w:pPr>
      <w:r w:rsidRPr="1F48444C">
        <w:t xml:space="preserve">In line with the definition used in </w:t>
      </w:r>
      <w:r w:rsidRPr="00BD3CE6">
        <w:t>the SFC</w:t>
      </w:r>
      <w:r w:rsidRPr="006330CE">
        <w:rPr>
          <w:i/>
          <w:iCs/>
          <w:szCs w:val="24"/>
        </w:rPr>
        <w:t xml:space="preserve"> </w:t>
      </w:r>
      <w:hyperlink r:id="rId26">
        <w:r w:rsidRPr="006330CE">
          <w:rPr>
            <w:rStyle w:val="Hyperlink"/>
            <w:szCs w:val="24"/>
          </w:rPr>
          <w:t>College Performance Indicators</w:t>
        </w:r>
      </w:hyperlink>
      <w:r w:rsidRPr="00BD3CE6">
        <w:t xml:space="preserve"> National</w:t>
      </w:r>
      <w:r w:rsidRPr="1F48444C">
        <w:t xml:space="preserve"> Statistics publication</w:t>
      </w:r>
      <w:r w:rsidR="00BD3CE6">
        <w:t>,</w:t>
      </w:r>
      <w:r w:rsidRPr="1F48444C">
        <w:t xml:space="preserve"> the college entrants shown include only those students who completed 4 or more Credits.</w:t>
      </w:r>
      <w:r>
        <w:rPr>
          <w:rStyle w:val="FootnoteReference"/>
        </w:rPr>
        <w:footnoteReference w:id="3"/>
      </w:r>
      <w:r w:rsidRPr="30AFF2D1">
        <w:rPr>
          <w:vertAlign w:val="superscript"/>
        </w:rPr>
        <w:t xml:space="preserve"> </w:t>
      </w:r>
      <w:r w:rsidRPr="1F48444C">
        <w:t xml:space="preserve">This is an important addition on the college data when measuring entrant activity in enrolments as otherwise very short courses, of often only a </w:t>
      </w:r>
      <w:r w:rsidRPr="1F48444C">
        <w:lastRenderedPageBreak/>
        <w:t xml:space="preserve">few hours, are counted in the same way as courses with much longer durations. </w:t>
      </w:r>
    </w:p>
    <w:p w14:paraId="6B582B44" w14:textId="76A18E79" w:rsidR="00D2096F" w:rsidRPr="00B06EBF" w:rsidRDefault="00D2096F" w:rsidP="00D2096F">
      <w:pPr>
        <w:pStyle w:val="Heading2"/>
        <w:rPr>
          <w:rFonts w:cstheme="minorHAnsi"/>
        </w:rPr>
      </w:pPr>
      <w:bookmarkStart w:id="19" w:name="_Toc140574541"/>
      <w:bookmarkStart w:id="20" w:name="_Toc179962764"/>
      <w:r w:rsidRPr="007556C2">
        <w:rPr>
          <w:rFonts w:eastAsia="Calibri" w:cstheme="minorHAnsi"/>
          <w:lang w:val="en-US"/>
        </w:rPr>
        <w:t xml:space="preserve">University </w:t>
      </w:r>
      <w:r w:rsidR="00F30A11">
        <w:rPr>
          <w:rFonts w:eastAsia="Calibri" w:cstheme="minorHAnsi"/>
          <w:lang w:val="en-US"/>
        </w:rPr>
        <w:t>r</w:t>
      </w:r>
      <w:r w:rsidRPr="007556C2">
        <w:rPr>
          <w:rFonts w:eastAsia="Calibri" w:cstheme="minorHAnsi"/>
          <w:lang w:val="en-US"/>
        </w:rPr>
        <w:t>etention</w:t>
      </w:r>
      <w:bookmarkEnd w:id="19"/>
      <w:bookmarkEnd w:id="20"/>
    </w:p>
    <w:p w14:paraId="3080AD11" w14:textId="77777777" w:rsidR="00D2096F" w:rsidRPr="007556C2" w:rsidRDefault="00D2096F" w:rsidP="00807306">
      <w:pPr>
        <w:pStyle w:val="Numbering"/>
        <w:numPr>
          <w:ilvl w:val="0"/>
          <w:numId w:val="12"/>
        </w:numPr>
      </w:pPr>
      <w:r w:rsidRPr="30AFF2D1">
        <w:t xml:space="preserve">University retention measures whether a student, studying at first degree or sub-degree level university provision, stays in higher education after their first year of study. The full definition can be </w:t>
      </w:r>
      <w:r w:rsidRPr="00BD3CE6">
        <w:t xml:space="preserve">found in the </w:t>
      </w:r>
      <w:hyperlink r:id="rId27">
        <w:r w:rsidRPr="00071768">
          <w:rPr>
            <w:rStyle w:val="Hyperlink"/>
            <w:szCs w:val="24"/>
          </w:rPr>
          <w:t>OA Technical Guidance.</w:t>
        </w:r>
      </w:hyperlink>
      <w:r w:rsidRPr="00071768">
        <w:rPr>
          <w:szCs w:val="24"/>
        </w:rPr>
        <w:t xml:space="preserve"> </w:t>
      </w:r>
    </w:p>
    <w:p w14:paraId="537C253D" w14:textId="71564C0D" w:rsidR="00D2096F" w:rsidRPr="007556C2" w:rsidRDefault="00D2096F" w:rsidP="00D2096F">
      <w:pPr>
        <w:pStyle w:val="Heading2"/>
        <w:rPr>
          <w:rFonts w:eastAsia="Calibri" w:cstheme="minorHAnsi"/>
          <w:lang w:val="en-US"/>
        </w:rPr>
      </w:pPr>
      <w:bookmarkStart w:id="21" w:name="_Toc140574542"/>
      <w:bookmarkStart w:id="22" w:name="_Toc179962765"/>
      <w:r w:rsidRPr="007556C2">
        <w:rPr>
          <w:rFonts w:eastAsia="Calibri" w:cstheme="minorHAnsi"/>
          <w:lang w:val="en-US"/>
        </w:rPr>
        <w:t xml:space="preserve">College </w:t>
      </w:r>
      <w:r w:rsidR="00F30A11">
        <w:rPr>
          <w:rFonts w:eastAsia="Calibri" w:cstheme="minorHAnsi"/>
          <w:lang w:val="en-US"/>
        </w:rPr>
        <w:t>s</w:t>
      </w:r>
      <w:r w:rsidRPr="007556C2">
        <w:rPr>
          <w:rFonts w:eastAsia="Calibri" w:cstheme="minorHAnsi"/>
          <w:lang w:val="en-US"/>
        </w:rPr>
        <w:t>uccess</w:t>
      </w:r>
      <w:bookmarkEnd w:id="21"/>
      <w:bookmarkEnd w:id="22"/>
      <w:r w:rsidRPr="007556C2">
        <w:rPr>
          <w:rFonts w:eastAsia="Calibri" w:cstheme="minorHAnsi"/>
          <w:lang w:val="en-US"/>
        </w:rPr>
        <w:t xml:space="preserve"> </w:t>
      </w:r>
    </w:p>
    <w:p w14:paraId="5CAD7A9D" w14:textId="7E03506D" w:rsidR="00D2096F" w:rsidRPr="007556C2" w:rsidRDefault="00D2096F" w:rsidP="00807306">
      <w:pPr>
        <w:pStyle w:val="Numbering"/>
        <w:numPr>
          <w:ilvl w:val="0"/>
          <w:numId w:val="12"/>
        </w:numPr>
      </w:pPr>
      <w:r w:rsidRPr="30AFF2D1">
        <w:t xml:space="preserve">College success is </w:t>
      </w:r>
      <w:r w:rsidRPr="00BD3CE6">
        <w:t>reported in SFC’s</w:t>
      </w:r>
      <w:r w:rsidRPr="00071768">
        <w:rPr>
          <w:i/>
          <w:iCs/>
          <w:szCs w:val="24"/>
        </w:rPr>
        <w:t xml:space="preserve"> </w:t>
      </w:r>
      <w:hyperlink r:id="rId28">
        <w:r w:rsidRPr="00071768">
          <w:rPr>
            <w:rStyle w:val="Hyperlink"/>
            <w:szCs w:val="24"/>
          </w:rPr>
          <w:t>College Performance Indicators</w:t>
        </w:r>
      </w:hyperlink>
      <w:r w:rsidRPr="00BD3CE6">
        <w:t xml:space="preserve"> (PI)</w:t>
      </w:r>
      <w:r w:rsidRPr="30AFF2D1">
        <w:t xml:space="preserve"> publication. The College PIs for 202</w:t>
      </w:r>
      <w:r>
        <w:t>2</w:t>
      </w:r>
      <w:r w:rsidRPr="30AFF2D1">
        <w:t>-2</w:t>
      </w:r>
      <w:r>
        <w:t>3</w:t>
      </w:r>
      <w:r w:rsidRPr="30AFF2D1">
        <w:t xml:space="preserve"> were published in May 202</w:t>
      </w:r>
      <w:r>
        <w:t>4</w:t>
      </w:r>
      <w:r w:rsidRPr="30AFF2D1">
        <w:t xml:space="preserve"> and contain data on successful completion for students from a range of access criteria including age, gender and disability. The intention of </w:t>
      </w:r>
      <w:r w:rsidR="00BD3CE6">
        <w:t>the Report on Widening Access</w:t>
      </w:r>
      <w:r w:rsidRPr="30AFF2D1">
        <w:t xml:space="preserve"> is not to reproduce this data</w:t>
      </w:r>
      <w:r>
        <w:t>,</w:t>
      </w:r>
      <w:r w:rsidRPr="30AFF2D1">
        <w:t xml:space="preserve"> but key success indicators and further breakdowns are provided. </w:t>
      </w:r>
    </w:p>
    <w:p w14:paraId="0645B0A1" w14:textId="0E878A80" w:rsidR="00D2096F" w:rsidRPr="00B06EBF" w:rsidRDefault="00D2096F" w:rsidP="00D2096F">
      <w:pPr>
        <w:pStyle w:val="Heading2"/>
        <w:rPr>
          <w:rFonts w:cstheme="minorHAnsi"/>
        </w:rPr>
      </w:pPr>
      <w:bookmarkStart w:id="23" w:name="_Toc140574543"/>
      <w:bookmarkStart w:id="24" w:name="_Toc179962766"/>
      <w:r w:rsidRPr="007556C2">
        <w:rPr>
          <w:rFonts w:eastAsia="Calibri" w:cstheme="minorHAnsi"/>
          <w:lang w:val="en-US"/>
        </w:rPr>
        <w:t xml:space="preserve">University </w:t>
      </w:r>
      <w:r w:rsidR="00F30A11">
        <w:rPr>
          <w:rFonts w:eastAsia="Calibri" w:cstheme="minorHAnsi"/>
          <w:lang w:val="en-US"/>
        </w:rPr>
        <w:t>q</w:t>
      </w:r>
      <w:r w:rsidRPr="007556C2">
        <w:rPr>
          <w:rFonts w:eastAsia="Calibri" w:cstheme="minorHAnsi"/>
          <w:lang w:val="en-US"/>
        </w:rPr>
        <w:t>ualifiers</w:t>
      </w:r>
      <w:bookmarkEnd w:id="23"/>
      <w:bookmarkEnd w:id="24"/>
    </w:p>
    <w:p w14:paraId="3A95D0ED" w14:textId="209C150A" w:rsidR="00D2096F" w:rsidRPr="00812FE6" w:rsidRDefault="00D2096F" w:rsidP="00807306">
      <w:pPr>
        <w:pStyle w:val="Numbering"/>
        <w:numPr>
          <w:ilvl w:val="0"/>
          <w:numId w:val="12"/>
        </w:numPr>
      </w:pPr>
      <w:r w:rsidRPr="30AFF2D1">
        <w:t>Figures relating to qualifiers from universities count those students successfully achieving a qualification at the stated level. It should be noted that the qualification achieved can differ from the initial level of study. It can take varying lengths of time for students to achieve a qualification, depending on length of course and individual circumstances. Qualifier figures for 2019-20 and 2020-21 are not comparable with prior years due to the impact of the COVID-19 pandemic</w:t>
      </w:r>
      <w:r w:rsidR="006E7996" w:rsidRPr="30AFF2D1">
        <w:t xml:space="preserve">. </w:t>
      </w:r>
    </w:p>
    <w:p w14:paraId="207CF608" w14:textId="77777777" w:rsidR="00D2096F" w:rsidRPr="00812FE6" w:rsidRDefault="00D2096F" w:rsidP="00807306">
      <w:pPr>
        <w:pStyle w:val="Numbering"/>
        <w:numPr>
          <w:ilvl w:val="0"/>
          <w:numId w:val="12"/>
        </w:numPr>
      </w:pPr>
      <w:r w:rsidRPr="00812FE6">
        <w:t>Th</w:t>
      </w:r>
      <w:r>
        <w:t>e year-on-year decline</w:t>
      </w:r>
      <w:r w:rsidRPr="00812FE6">
        <w:t xml:space="preserve"> in</w:t>
      </w:r>
      <w:r>
        <w:t xml:space="preserve"> university</w:t>
      </w:r>
      <w:r w:rsidRPr="00812FE6">
        <w:t xml:space="preserve"> qualifiers is in part due to a Marking and Assessment Boycott in 2022-23, which prevented some HEIs from submitting qualifications within the reporting period.</w:t>
      </w:r>
    </w:p>
    <w:p w14:paraId="74F753E4" w14:textId="77777777" w:rsidR="00D2096F" w:rsidRPr="00B06EBF" w:rsidRDefault="00D2096F" w:rsidP="00D2096F">
      <w:pPr>
        <w:pStyle w:val="Heading2"/>
        <w:rPr>
          <w:rFonts w:cstheme="minorHAnsi"/>
        </w:rPr>
      </w:pPr>
      <w:bookmarkStart w:id="25" w:name="_Toc140574544"/>
      <w:bookmarkStart w:id="26" w:name="_Toc179962767"/>
      <w:r w:rsidRPr="007556C2">
        <w:rPr>
          <w:rFonts w:eastAsia="Calibri" w:cstheme="minorHAnsi"/>
          <w:lang w:val="en-US"/>
        </w:rPr>
        <w:t>Articulation</w:t>
      </w:r>
      <w:bookmarkEnd w:id="25"/>
      <w:bookmarkEnd w:id="26"/>
      <w:r w:rsidRPr="007556C2">
        <w:rPr>
          <w:rFonts w:eastAsia="Calibri" w:cstheme="minorHAnsi"/>
          <w:lang w:val="en-US"/>
        </w:rPr>
        <w:t xml:space="preserve"> </w:t>
      </w:r>
    </w:p>
    <w:p w14:paraId="4F5A3A81" w14:textId="77777777" w:rsidR="00D2096F" w:rsidRPr="00320415" w:rsidRDefault="00D2096F" w:rsidP="00807306">
      <w:pPr>
        <w:pStyle w:val="Numbering"/>
        <w:numPr>
          <w:ilvl w:val="0"/>
          <w:numId w:val="12"/>
        </w:numPr>
      </w:pPr>
      <w:r w:rsidRPr="00BD3CE6">
        <w:t xml:space="preserve">In </w:t>
      </w:r>
      <w:hyperlink r:id="rId29">
        <w:r w:rsidRPr="00071768">
          <w:rPr>
            <w:rStyle w:val="Hyperlink"/>
            <w:szCs w:val="24"/>
          </w:rPr>
          <w:t>A Blueprint for Fairness</w:t>
        </w:r>
      </w:hyperlink>
      <w:r w:rsidRPr="00BD3CE6">
        <w:t xml:space="preserve"> the Commission</w:t>
      </w:r>
      <w:r w:rsidRPr="30AFF2D1">
        <w:t xml:space="preserve"> on Widening Access made recommendations relating to articulation and these pathways are also a focus in Outcome Agreement negotiations with institutions. The definition of articulation for the purposes of this report includes students articulating from college with advanced standing via a Higher National (HN) route achieved in the three years prior to articulating. This is consistent with the approach taken in compiling SFC’s National Articulation Database (NAD). </w:t>
      </w:r>
    </w:p>
    <w:p w14:paraId="53833743" w14:textId="77777777" w:rsidR="00D2096F" w:rsidRPr="00320415" w:rsidRDefault="00D2096F" w:rsidP="00807306">
      <w:pPr>
        <w:pStyle w:val="Numbering"/>
        <w:numPr>
          <w:ilvl w:val="0"/>
          <w:numId w:val="12"/>
        </w:numPr>
      </w:pPr>
      <w:r w:rsidRPr="30AFF2D1">
        <w:t xml:space="preserve">Articulation is a key route for access to education. Working with representatives of the universities and college sectors, SFC has recently rebuilt the National Articulation Database (NAD) on a more advanced statistical platform. The new platform enables more analysis of this data, and those affiliated to universities and colleges can interact with this data by contacting SFC and registering for the National Articulation Database, on completion of a Data Sharing Agreement. </w:t>
      </w:r>
    </w:p>
    <w:p w14:paraId="6BEBDB5B" w14:textId="0E06A8C7" w:rsidR="00D2096F" w:rsidRPr="00320415" w:rsidRDefault="00D2096F" w:rsidP="00807306">
      <w:pPr>
        <w:pStyle w:val="Numbering"/>
        <w:numPr>
          <w:ilvl w:val="0"/>
          <w:numId w:val="12"/>
        </w:numPr>
      </w:pPr>
      <w:r w:rsidRPr="30AFF2D1">
        <w:t xml:space="preserve">Summary statistics are provided in the background tables to this report and are available </w:t>
      </w:r>
      <w:r w:rsidRPr="30AFF2D1">
        <w:lastRenderedPageBreak/>
        <w:t>on request from SFC.</w:t>
      </w:r>
      <w:r w:rsidR="00903585">
        <w:rPr>
          <w:rStyle w:val="FootnoteReference"/>
        </w:rPr>
        <w:footnoteReference w:id="4"/>
      </w:r>
      <w:r w:rsidRPr="30AFF2D1">
        <w:t xml:space="preserve">  </w:t>
      </w:r>
    </w:p>
    <w:p w14:paraId="524B1FFA" w14:textId="77777777" w:rsidR="00D2096F" w:rsidRPr="007556C2" w:rsidRDefault="00D2096F" w:rsidP="00807306">
      <w:pPr>
        <w:pStyle w:val="Numbering"/>
        <w:numPr>
          <w:ilvl w:val="0"/>
          <w:numId w:val="12"/>
        </w:numPr>
      </w:pPr>
      <w:r w:rsidRPr="30AFF2D1">
        <w:t xml:space="preserve">Information on the methodology applied in the building of the National Articulation Database can be found in the accompanying annex to this report. </w:t>
      </w:r>
    </w:p>
    <w:p w14:paraId="2716A5A5" w14:textId="77777777" w:rsidR="00D2096F" w:rsidRPr="00B06EBF" w:rsidRDefault="00D2096F" w:rsidP="00D2096F">
      <w:pPr>
        <w:pStyle w:val="Heading2"/>
        <w:rPr>
          <w:rFonts w:cstheme="minorHAnsi"/>
        </w:rPr>
      </w:pPr>
      <w:bookmarkStart w:id="27" w:name="_Toc140574545"/>
      <w:bookmarkStart w:id="28" w:name="_Toc179962768"/>
      <w:r w:rsidRPr="007556C2">
        <w:rPr>
          <w:rFonts w:eastAsia="Calibri" w:cstheme="minorHAnsi"/>
          <w:lang w:val="en-US"/>
        </w:rPr>
        <w:t>University Graduate Outcomes</w:t>
      </w:r>
      <w:bookmarkEnd w:id="27"/>
      <w:bookmarkEnd w:id="28"/>
    </w:p>
    <w:p w14:paraId="2ADD6D08" w14:textId="7BC9B9D6" w:rsidR="00D2096F" w:rsidRPr="00320415" w:rsidRDefault="00D2096F" w:rsidP="00807306">
      <w:pPr>
        <w:pStyle w:val="Numbering"/>
        <w:numPr>
          <w:ilvl w:val="0"/>
          <w:numId w:val="12"/>
        </w:numPr>
      </w:pPr>
      <w:r w:rsidRPr="30AFF2D1">
        <w:t xml:space="preserve">These </w:t>
      </w:r>
      <w:r w:rsidRPr="005275A9">
        <w:t>tables present the number and proportion of Scottish-domiciled full-time first-degree qualifiers in positive destinations 15 months after graduation, where they responded to the</w:t>
      </w:r>
      <w:r w:rsidRPr="00071768">
        <w:rPr>
          <w:szCs w:val="24"/>
        </w:rPr>
        <w:t xml:space="preserve"> </w:t>
      </w:r>
      <w:hyperlink r:id="rId30" w:history="1">
        <w:r w:rsidRPr="00071768">
          <w:rPr>
            <w:rStyle w:val="Hyperlink"/>
            <w:szCs w:val="24"/>
          </w:rPr>
          <w:t>HESA Graduate Outcomes</w:t>
        </w:r>
      </w:hyperlink>
      <w:r w:rsidRPr="005275A9">
        <w:t xml:space="preserve"> survey</w:t>
      </w:r>
      <w:r w:rsidRPr="30AFF2D1">
        <w:t xml:space="preserve">. Those unemployed are treated as being in negative destinations, and those in other or not known destinations (e.g. travelling, caring or retired) are excluded. </w:t>
      </w:r>
    </w:p>
    <w:p w14:paraId="0BAC8754" w14:textId="77777777" w:rsidR="00D2096F" w:rsidRPr="007556C2" w:rsidRDefault="00D2096F" w:rsidP="00807306">
      <w:pPr>
        <w:pStyle w:val="Numbering"/>
        <w:numPr>
          <w:ilvl w:val="0"/>
          <w:numId w:val="12"/>
        </w:numPr>
      </w:pPr>
      <w:r w:rsidRPr="30AFF2D1">
        <w:t>Those in employment include those employed in locations outside of Scotland.</w:t>
      </w:r>
    </w:p>
    <w:p w14:paraId="74D05690" w14:textId="2174743E" w:rsidR="00D2096F" w:rsidRPr="00B06EBF" w:rsidRDefault="00D2096F" w:rsidP="00D2096F">
      <w:pPr>
        <w:pStyle w:val="Heading2"/>
        <w:rPr>
          <w:rFonts w:cstheme="minorHAnsi"/>
        </w:rPr>
      </w:pPr>
      <w:bookmarkStart w:id="29" w:name="_Toc140574546"/>
      <w:bookmarkStart w:id="30" w:name="_Toc179962769"/>
      <w:r w:rsidRPr="007556C2">
        <w:rPr>
          <w:rFonts w:eastAsia="Calibri" w:cstheme="minorHAnsi"/>
          <w:lang w:val="en-US"/>
        </w:rPr>
        <w:t xml:space="preserve">Data </w:t>
      </w:r>
      <w:r w:rsidR="00F30A11">
        <w:rPr>
          <w:rFonts w:eastAsia="Calibri" w:cstheme="minorHAnsi"/>
          <w:lang w:val="en-US"/>
        </w:rPr>
        <w:t>s</w:t>
      </w:r>
      <w:r w:rsidRPr="007556C2">
        <w:rPr>
          <w:rFonts w:eastAsia="Calibri" w:cstheme="minorHAnsi"/>
          <w:lang w:val="en-US"/>
        </w:rPr>
        <w:t>pecifics</w:t>
      </w:r>
      <w:bookmarkEnd w:id="29"/>
      <w:bookmarkEnd w:id="30"/>
    </w:p>
    <w:p w14:paraId="7795C33A" w14:textId="7AB73B26" w:rsidR="00D2096F" w:rsidRPr="00320415" w:rsidRDefault="00D2096F" w:rsidP="00807306">
      <w:pPr>
        <w:pStyle w:val="Numbering"/>
        <w:numPr>
          <w:ilvl w:val="0"/>
          <w:numId w:val="12"/>
        </w:numPr>
      </w:pPr>
      <w:r w:rsidRPr="30AFF2D1">
        <w:t>All counts of students have been rounded to the nearest five, to protect the confidentiality of individuals, in accordance with SFC policy and in</w:t>
      </w:r>
      <w:r w:rsidR="006E7404">
        <w:t xml:space="preserve"> </w:t>
      </w:r>
      <w:r w:rsidRPr="30AFF2D1">
        <w:t>line with HESA. Totals are based on unrounded values. Percentages are based on students who have known data for the characteristic reported. Percentages based on a population of 22.5 or fewer students have been suppressed to protect against over interpretation of small numbers.</w:t>
      </w:r>
    </w:p>
    <w:p w14:paraId="476F7E15" w14:textId="5DB7B084" w:rsidR="00D2096F" w:rsidRPr="006E7404" w:rsidRDefault="00D2096F" w:rsidP="00807306">
      <w:pPr>
        <w:pStyle w:val="Numbering"/>
        <w:numPr>
          <w:ilvl w:val="0"/>
          <w:numId w:val="12"/>
        </w:numPr>
      </w:pPr>
      <w:r w:rsidRPr="30AFF2D1">
        <w:t>When a college and HEI share responsibility for students, for example, when a HEI acts as the awarding body for a course that is partly delivered at college, these students appear in both the university and college data and are known as Associate Students. There were 1,</w:t>
      </w:r>
      <w:r>
        <w:t>1</w:t>
      </w:r>
      <w:r w:rsidRPr="30AFF2D1">
        <w:t>85 Associate Students in 202</w:t>
      </w:r>
      <w:r>
        <w:t>2</w:t>
      </w:r>
      <w:r w:rsidRPr="30AFF2D1">
        <w:t>-2</w:t>
      </w:r>
      <w:r>
        <w:t>3</w:t>
      </w:r>
      <w:r w:rsidRPr="30AFF2D1">
        <w:t xml:space="preserve"> who have been reported on </w:t>
      </w:r>
      <w:r w:rsidRPr="006E7404">
        <w:t>in both sectors in this publication, following the practice of treating them in this way, decided in SFC’s</w:t>
      </w:r>
      <w:r w:rsidRPr="00071768">
        <w:rPr>
          <w:szCs w:val="24"/>
        </w:rPr>
        <w:t xml:space="preserve"> </w:t>
      </w:r>
      <w:hyperlink r:id="rId31" w:history="1">
        <w:r w:rsidRPr="00071768">
          <w:rPr>
            <w:rStyle w:val="Hyperlink"/>
            <w:szCs w:val="24"/>
          </w:rPr>
          <w:t>HE Students and Qualifiers</w:t>
        </w:r>
      </w:hyperlink>
      <w:r w:rsidRPr="006E7404">
        <w:t xml:space="preserve"> publication. </w:t>
      </w:r>
    </w:p>
    <w:p w14:paraId="1B44C8C4" w14:textId="6676A3CE" w:rsidR="00D2096F" w:rsidRPr="00320415" w:rsidRDefault="00D2096F" w:rsidP="00807306">
      <w:pPr>
        <w:pStyle w:val="Numbering"/>
        <w:numPr>
          <w:ilvl w:val="0"/>
          <w:numId w:val="12"/>
        </w:numPr>
        <w:rPr>
          <w:color w:val="2F1A45" w:themeColor="text1"/>
        </w:rPr>
      </w:pPr>
      <w:r w:rsidRPr="1F48444C">
        <w:t xml:space="preserve">The SIMD files are updated periodically to reflect changing levels of deprivation in areas and the SIMD data </w:t>
      </w:r>
      <w:r w:rsidRPr="00CB31A8">
        <w:t>series in this report use the SIMD2012, SIMD2016 and SIMD2020 files. For academic years 2013-14 to 2016-17, SIMD2012 is used. For 2017-18 to 2020-21, SIMD2016 is used. For 2021-22 to 2022-23, SIMD2020 is used</w:t>
      </w:r>
      <w:r w:rsidR="00CB31A8">
        <w:t>.</w:t>
      </w:r>
      <w:r w:rsidRPr="00CB31A8">
        <w:rPr>
          <w:rStyle w:val="FootnoteReference"/>
        </w:rPr>
        <w:footnoteReference w:id="5"/>
      </w:r>
    </w:p>
    <w:p w14:paraId="38D6D893" w14:textId="77777777" w:rsidR="00D2096F" w:rsidRPr="007556C2" w:rsidRDefault="00D2096F" w:rsidP="00807306">
      <w:pPr>
        <w:pStyle w:val="Numbering"/>
        <w:numPr>
          <w:ilvl w:val="0"/>
          <w:numId w:val="12"/>
        </w:numPr>
      </w:pPr>
      <w:r w:rsidRPr="30AFF2D1">
        <w:t>The disability categories in Figure 3 and relevant background tables are</w:t>
      </w:r>
      <w:r>
        <w:t xml:space="preserve"> sometimes</w:t>
      </w:r>
      <w:r w:rsidRPr="30AFF2D1">
        <w:t xml:space="preserve"> shown under shortened titles. The full disability titles, giving examples of the specific conditions in each group are below:</w:t>
      </w:r>
    </w:p>
    <w:p w14:paraId="253F6349"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 xml:space="preserve">A long standing illness or health condition such as cancer, HIV, diabetes, chronic </w:t>
      </w:r>
      <w:r w:rsidRPr="1F48444C">
        <w:rPr>
          <w:rFonts w:eastAsia="Calibri"/>
          <w:lang w:val="en-US"/>
        </w:rPr>
        <w:lastRenderedPageBreak/>
        <w:t>heart disease, or epilepsy.</w:t>
      </w:r>
    </w:p>
    <w:p w14:paraId="0BD09FDE"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A mental health condition, such as depression, schizophrenia or anxiety disorder.</w:t>
      </w:r>
    </w:p>
    <w:p w14:paraId="5D91D1E7"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A physical impairment or mobility issues, such as difficulty using arms or using a wheelchair or crutches.</w:t>
      </w:r>
    </w:p>
    <w:p w14:paraId="3E2E64FB"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A social/communication impairment such as Asperger's syndrome/other autistic spectrum disorder.</w:t>
      </w:r>
    </w:p>
    <w:p w14:paraId="14E4D7C3"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A specific learning difficulty such as dyslexia, dyspraxia or AD(H)D.</w:t>
      </w:r>
    </w:p>
    <w:p w14:paraId="2A3620DE"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Blind or a serious visual impairment uncorrected by glasses.</w:t>
      </w:r>
      <w:r>
        <w:tab/>
      </w:r>
    </w:p>
    <w:p w14:paraId="7997B3FF"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Deaf or a serious hearing impairment.</w:t>
      </w:r>
    </w:p>
    <w:p w14:paraId="4BE12530" w14:textId="77777777" w:rsidR="00D2096F"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Personal care support.</w:t>
      </w:r>
    </w:p>
    <w:p w14:paraId="175C7D7A" w14:textId="2CAA2648" w:rsidR="00D2096F" w:rsidRPr="007556C2" w:rsidRDefault="00D2096F" w:rsidP="00D2096F">
      <w:pPr>
        <w:pStyle w:val="Bullets"/>
        <w:widowControl w:val="0"/>
        <w:tabs>
          <w:tab w:val="left" w:pos="567"/>
        </w:tabs>
        <w:spacing w:after="200" w:line="240" w:lineRule="auto"/>
        <w:rPr>
          <w:rFonts w:eastAsia="Calibri"/>
          <w:lang w:val="en-US"/>
        </w:rPr>
      </w:pPr>
      <w:r w:rsidRPr="00664229">
        <w:rPr>
          <w:rFonts w:eastAsia="Calibri"/>
          <w:lang w:val="en-US"/>
        </w:rPr>
        <w:t>Development condition that you have had since childhood which affects motor, cognitive, social and emotional skills, and speech and language</w:t>
      </w:r>
      <w:r w:rsidR="00551C55">
        <w:rPr>
          <w:rFonts w:eastAsia="Calibri"/>
          <w:lang w:val="en-US"/>
        </w:rPr>
        <w:t>.</w:t>
      </w:r>
      <w:r>
        <w:rPr>
          <w:rStyle w:val="FootnoteReference"/>
          <w:rFonts w:eastAsia="Calibri"/>
          <w:lang w:val="en-US"/>
        </w:rPr>
        <w:footnoteReference w:id="6"/>
      </w:r>
    </w:p>
    <w:p w14:paraId="52467F65" w14:textId="77777777"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A disability, impairment or medical condition that is not listed above.</w:t>
      </w:r>
    </w:p>
    <w:p w14:paraId="759229DE" w14:textId="77777777" w:rsidR="00D2096F" w:rsidRPr="00320415"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Two or more impairments and/or disabling medical conditions.</w:t>
      </w:r>
    </w:p>
    <w:p w14:paraId="035D243C" w14:textId="77777777" w:rsidR="00D2096F" w:rsidRPr="00320415" w:rsidRDefault="00D2096F" w:rsidP="00807306">
      <w:pPr>
        <w:pStyle w:val="Numbering"/>
        <w:numPr>
          <w:ilvl w:val="0"/>
          <w:numId w:val="12"/>
        </w:numPr>
      </w:pPr>
      <w:r w:rsidRPr="30AFF2D1">
        <w:t>Students at the former land-based colleges of Barony, Elmwood and Oatridge, which merged with the Scottish Agricultural College (SAC) to form SRUC in October 2012, were still recorded through the college reporting until 2012-13. They are included in the figures for colleges for 2012-13 but are included with the SRUC and HEI related figures from 2013-14 onwards.</w:t>
      </w:r>
    </w:p>
    <w:p w14:paraId="2743CB92" w14:textId="77777777" w:rsidR="00D2096F" w:rsidRPr="00CB31A8" w:rsidRDefault="00D2096F" w:rsidP="00807306">
      <w:pPr>
        <w:pStyle w:val="Numbering"/>
        <w:numPr>
          <w:ilvl w:val="0"/>
          <w:numId w:val="12"/>
        </w:numPr>
      </w:pPr>
      <w:r w:rsidRPr="30AFF2D1">
        <w:t xml:space="preserve">A number of institution mergers happened across the university and college sectors over the time period shown in this publication. Full details of these are </w:t>
      </w:r>
      <w:r w:rsidRPr="00CB31A8">
        <w:t>described in</w:t>
      </w:r>
      <w:r w:rsidRPr="00BB654D">
        <w:rPr>
          <w:szCs w:val="24"/>
        </w:rPr>
        <w:t xml:space="preserve"> </w:t>
      </w:r>
      <w:hyperlink r:id="rId32">
        <w:r w:rsidRPr="00BB654D">
          <w:rPr>
            <w:rStyle w:val="Hyperlink"/>
            <w:szCs w:val="24"/>
          </w:rPr>
          <w:t>Annex A: HE Students and Qualifiers 2020-21</w:t>
        </w:r>
      </w:hyperlink>
      <w:r w:rsidRPr="00BB654D">
        <w:rPr>
          <w:szCs w:val="24"/>
        </w:rPr>
        <w:t>.</w:t>
      </w:r>
    </w:p>
    <w:p w14:paraId="6EE5553C" w14:textId="77777777" w:rsidR="00D2096F" w:rsidRPr="007556C2" w:rsidRDefault="00D2096F" w:rsidP="00D2096F">
      <w:pPr>
        <w:pStyle w:val="Heading2"/>
      </w:pPr>
      <w:bookmarkStart w:id="31" w:name="_Toc140574547"/>
      <w:bookmarkStart w:id="32" w:name="_Toc179962770"/>
      <w:r w:rsidRPr="1F48444C">
        <w:rPr>
          <w:rFonts w:eastAsia="Calibri"/>
          <w:lang w:val="en-US"/>
        </w:rPr>
        <w:t>Other protected characteristics</w:t>
      </w:r>
      <w:bookmarkEnd w:id="31"/>
      <w:bookmarkEnd w:id="32"/>
    </w:p>
    <w:p w14:paraId="6F03DDA6" w14:textId="3B35CFE3" w:rsidR="00D2096F" w:rsidRPr="007556C2" w:rsidRDefault="004B0E2D" w:rsidP="00807306">
      <w:pPr>
        <w:pStyle w:val="Numbering"/>
        <w:numPr>
          <w:ilvl w:val="0"/>
          <w:numId w:val="12"/>
        </w:numPr>
      </w:pPr>
      <w:r>
        <w:t xml:space="preserve">Aside from breakdowns by care experience status, sex, age, disability status, and ethnicity shown throughout the background tables, </w:t>
      </w:r>
      <w:r w:rsidR="00D2096F" w:rsidRPr="30AFF2D1">
        <w:t>SFC is</w:t>
      </w:r>
      <w:r>
        <w:t xml:space="preserve"> also</w:t>
      </w:r>
      <w:r w:rsidR="00D2096F" w:rsidRPr="30AFF2D1">
        <w:t xml:space="preserve"> publishing information on enrolments to colleges and universities split by the following groups of specific interest: </w:t>
      </w:r>
    </w:p>
    <w:p w14:paraId="025B1714" w14:textId="45B71B9A" w:rsidR="00D2096F" w:rsidRPr="007556C2" w:rsidRDefault="00D2096F" w:rsidP="00D2096F">
      <w:pPr>
        <w:pStyle w:val="Bullets"/>
        <w:widowControl w:val="0"/>
        <w:tabs>
          <w:tab w:val="left" w:pos="567"/>
        </w:tabs>
        <w:spacing w:after="200" w:line="240" w:lineRule="auto"/>
        <w:rPr>
          <w:rFonts w:eastAsiaTheme="minorEastAsia"/>
          <w:lang w:val="en-US"/>
        </w:rPr>
      </w:pPr>
      <w:r w:rsidRPr="1F48444C">
        <w:rPr>
          <w:rFonts w:eastAsia="Calibri"/>
          <w:lang w:val="en-US"/>
        </w:rPr>
        <w:t>Student carers</w:t>
      </w:r>
      <w:r w:rsidR="00BB654D">
        <w:rPr>
          <w:rFonts w:eastAsia="Calibri"/>
          <w:lang w:val="en-US"/>
        </w:rPr>
        <w:t>.</w:t>
      </w:r>
    </w:p>
    <w:p w14:paraId="7B9111C9" w14:textId="1CAAB2F9" w:rsidR="00D2096F" w:rsidRPr="007556C2" w:rsidRDefault="00D2096F" w:rsidP="00D2096F">
      <w:pPr>
        <w:pStyle w:val="Bullets"/>
        <w:widowControl w:val="0"/>
        <w:tabs>
          <w:tab w:val="left" w:pos="567"/>
        </w:tabs>
        <w:spacing w:after="200" w:line="240" w:lineRule="auto"/>
        <w:rPr>
          <w:lang w:val="en-US"/>
        </w:rPr>
      </w:pPr>
      <w:r w:rsidRPr="1F48444C">
        <w:rPr>
          <w:rFonts w:eastAsia="Calibri"/>
          <w:lang w:val="en-US"/>
        </w:rPr>
        <w:t>British Sign Language users</w:t>
      </w:r>
      <w:r w:rsidR="00BB654D">
        <w:rPr>
          <w:rFonts w:eastAsia="Calibri"/>
          <w:lang w:val="en-US"/>
        </w:rPr>
        <w:t>.</w:t>
      </w:r>
    </w:p>
    <w:p w14:paraId="07643CB8" w14:textId="5BA0ADA2" w:rsidR="00D2096F" w:rsidRPr="007556C2" w:rsidRDefault="00D2096F" w:rsidP="00D2096F">
      <w:pPr>
        <w:pStyle w:val="Bullets"/>
        <w:widowControl w:val="0"/>
        <w:tabs>
          <w:tab w:val="left" w:pos="567"/>
        </w:tabs>
        <w:spacing w:after="200" w:line="240" w:lineRule="auto"/>
        <w:rPr>
          <w:lang w:val="en-US"/>
        </w:rPr>
      </w:pPr>
      <w:r>
        <w:rPr>
          <w:rFonts w:eastAsia="Calibri"/>
          <w:lang w:val="en-US"/>
        </w:rPr>
        <w:lastRenderedPageBreak/>
        <w:t>Service leavers</w:t>
      </w:r>
      <w:r w:rsidR="00BB654D">
        <w:rPr>
          <w:rFonts w:eastAsia="Calibri"/>
          <w:lang w:val="en-US"/>
        </w:rPr>
        <w:t>.</w:t>
      </w:r>
    </w:p>
    <w:p w14:paraId="2B7A0A3B" w14:textId="1167306D" w:rsidR="00D2096F" w:rsidRPr="00320415" w:rsidRDefault="00D2096F" w:rsidP="00D2096F">
      <w:pPr>
        <w:pStyle w:val="Bullets"/>
        <w:widowControl w:val="0"/>
        <w:tabs>
          <w:tab w:val="left" w:pos="567"/>
        </w:tabs>
        <w:spacing w:after="200" w:line="240" w:lineRule="auto"/>
        <w:rPr>
          <w:lang w:val="en-US"/>
        </w:rPr>
      </w:pPr>
      <w:r w:rsidRPr="1F48444C">
        <w:rPr>
          <w:rFonts w:eastAsia="Calibri"/>
          <w:lang w:val="en-US"/>
        </w:rPr>
        <w:t>Estranged students</w:t>
      </w:r>
      <w:r w:rsidR="004B0E2D">
        <w:rPr>
          <w:rFonts w:eastAsia="Calibri"/>
          <w:lang w:val="en-US"/>
        </w:rPr>
        <w:t>.</w:t>
      </w:r>
    </w:p>
    <w:p w14:paraId="57ACCD10" w14:textId="778EF444" w:rsidR="00D2096F"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 xml:space="preserve">Gender </w:t>
      </w:r>
      <w:r w:rsidR="004B0E2D">
        <w:rPr>
          <w:rFonts w:eastAsia="Calibri"/>
          <w:lang w:val="en-US"/>
        </w:rPr>
        <w:t>i</w:t>
      </w:r>
      <w:r w:rsidRPr="1F48444C">
        <w:rPr>
          <w:rFonts w:eastAsia="Calibri"/>
          <w:lang w:val="en-US"/>
        </w:rPr>
        <w:t>dentity</w:t>
      </w:r>
      <w:r>
        <w:rPr>
          <w:rFonts w:eastAsia="Calibri"/>
          <w:lang w:val="en-US"/>
        </w:rPr>
        <w:t xml:space="preserve"> and </w:t>
      </w:r>
      <w:r w:rsidR="004B0E2D">
        <w:rPr>
          <w:rFonts w:eastAsia="Calibri"/>
          <w:lang w:val="en-US"/>
        </w:rPr>
        <w:t>t</w:t>
      </w:r>
      <w:r>
        <w:rPr>
          <w:rFonts w:eastAsia="Calibri"/>
          <w:lang w:val="en-US"/>
        </w:rPr>
        <w:t xml:space="preserve">rans </w:t>
      </w:r>
      <w:r w:rsidR="004B0E2D">
        <w:rPr>
          <w:rFonts w:eastAsia="Calibri"/>
          <w:lang w:val="en-US"/>
        </w:rPr>
        <w:t>s</w:t>
      </w:r>
      <w:r>
        <w:rPr>
          <w:rFonts w:eastAsia="Calibri"/>
          <w:lang w:val="en-US"/>
        </w:rPr>
        <w:t>tatus</w:t>
      </w:r>
      <w:r w:rsidR="00BB654D">
        <w:rPr>
          <w:rFonts w:eastAsia="Calibri"/>
          <w:lang w:val="en-US"/>
        </w:rPr>
        <w:t>.</w:t>
      </w:r>
    </w:p>
    <w:p w14:paraId="1B43D14E" w14:textId="56157CF2"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Pregnancy/</w:t>
      </w:r>
      <w:r w:rsidR="004B0E2D">
        <w:rPr>
          <w:rFonts w:eastAsia="Calibri"/>
          <w:lang w:val="en-US"/>
        </w:rPr>
        <w:t>m</w:t>
      </w:r>
      <w:r w:rsidRPr="1F48444C">
        <w:rPr>
          <w:rFonts w:eastAsia="Calibri"/>
          <w:lang w:val="en-US"/>
        </w:rPr>
        <w:t>aternity (college sector only –</w:t>
      </w:r>
      <w:r w:rsidR="004B0E2D">
        <w:rPr>
          <w:rFonts w:eastAsia="Calibri"/>
          <w:lang w:val="en-US"/>
        </w:rPr>
        <w:t xml:space="preserve"> HESA do not collect this </w:t>
      </w:r>
      <w:r w:rsidRPr="1F48444C">
        <w:rPr>
          <w:rFonts w:eastAsia="Calibri"/>
          <w:lang w:val="en-US"/>
        </w:rPr>
        <w:t>for the university sector)</w:t>
      </w:r>
      <w:r w:rsidR="00BB654D">
        <w:rPr>
          <w:rFonts w:eastAsia="Calibri"/>
          <w:lang w:val="en-US"/>
        </w:rPr>
        <w:t>.</w:t>
      </w:r>
    </w:p>
    <w:p w14:paraId="13C165CB" w14:textId="2AFF1875" w:rsidR="00D2096F" w:rsidRPr="007556C2"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Religion or belief</w:t>
      </w:r>
      <w:r w:rsidR="00BB654D">
        <w:rPr>
          <w:rFonts w:eastAsia="Calibri"/>
          <w:lang w:val="en-US"/>
        </w:rPr>
        <w:t>.</w:t>
      </w:r>
    </w:p>
    <w:p w14:paraId="7D6AE905" w14:textId="3F1A1A90" w:rsidR="00D2096F"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 xml:space="preserve">Sexual </w:t>
      </w:r>
      <w:r w:rsidR="004B0E2D">
        <w:rPr>
          <w:rFonts w:eastAsia="Calibri"/>
          <w:lang w:val="en-US"/>
        </w:rPr>
        <w:t>o</w:t>
      </w:r>
      <w:r w:rsidRPr="1F48444C">
        <w:rPr>
          <w:rFonts w:eastAsia="Calibri"/>
          <w:lang w:val="en-US"/>
        </w:rPr>
        <w:t>rientation</w:t>
      </w:r>
      <w:r w:rsidR="00BB654D">
        <w:rPr>
          <w:rFonts w:eastAsia="Calibri"/>
          <w:lang w:val="en-US"/>
        </w:rPr>
        <w:t>.</w:t>
      </w:r>
    </w:p>
    <w:p w14:paraId="097A6193" w14:textId="738B178D" w:rsidR="00D2096F" w:rsidRDefault="00D2096F" w:rsidP="00D2096F">
      <w:pPr>
        <w:pStyle w:val="Bullets"/>
        <w:numPr>
          <w:ilvl w:val="0"/>
          <w:numId w:val="0"/>
        </w:numPr>
        <w:rPr>
          <w:rFonts w:eastAsia="Calibri"/>
          <w:lang w:val="en-US"/>
        </w:rPr>
      </w:pPr>
      <w:r>
        <w:rPr>
          <w:rFonts w:eastAsia="Calibri"/>
          <w:lang w:val="en-US"/>
        </w:rPr>
        <w:t>Discontinued in the 2022-23 publication as</w:t>
      </w:r>
      <w:r w:rsidR="004B0E2D">
        <w:rPr>
          <w:rFonts w:eastAsia="Calibri"/>
          <w:lang w:val="en-US"/>
        </w:rPr>
        <w:t xml:space="preserve"> the</w:t>
      </w:r>
      <w:r>
        <w:rPr>
          <w:rFonts w:eastAsia="Calibri"/>
          <w:lang w:val="en-US"/>
        </w:rPr>
        <w:t xml:space="preserve"> data was not collected from colleges </w:t>
      </w:r>
      <w:r w:rsidR="004B0E2D">
        <w:rPr>
          <w:rFonts w:eastAsia="Calibri"/>
          <w:lang w:val="en-US"/>
        </w:rPr>
        <w:t>in</w:t>
      </w:r>
      <w:r>
        <w:rPr>
          <w:rFonts w:eastAsia="Calibri"/>
          <w:lang w:val="en-US"/>
        </w:rPr>
        <w:t xml:space="preserve"> 2022-23, following </w:t>
      </w:r>
      <w:r w:rsidR="004B0E2D">
        <w:rPr>
          <w:rFonts w:eastAsia="Calibri"/>
          <w:lang w:val="en-US"/>
        </w:rPr>
        <w:t>EHRC</w:t>
      </w:r>
      <w:r w:rsidR="00CB31A8" w:rsidRPr="00CB31A8">
        <w:rPr>
          <w:rFonts w:eastAsia="Calibri"/>
          <w:lang w:val="en-US"/>
        </w:rPr>
        <w:t xml:space="preserve"> </w:t>
      </w:r>
      <w:r>
        <w:rPr>
          <w:rFonts w:eastAsia="Calibri"/>
          <w:lang w:val="en-US"/>
        </w:rPr>
        <w:t>guidance:</w:t>
      </w:r>
    </w:p>
    <w:p w14:paraId="36FE0883" w14:textId="48CCF306" w:rsidR="00D2096F" w:rsidRPr="00C32365" w:rsidRDefault="00D2096F" w:rsidP="00D2096F">
      <w:pPr>
        <w:pStyle w:val="Bullets"/>
        <w:widowControl w:val="0"/>
        <w:tabs>
          <w:tab w:val="left" w:pos="567"/>
        </w:tabs>
        <w:spacing w:after="200" w:line="240" w:lineRule="auto"/>
        <w:rPr>
          <w:rFonts w:eastAsia="Calibri"/>
          <w:lang w:val="en-US"/>
        </w:rPr>
      </w:pPr>
      <w:r w:rsidRPr="1F48444C">
        <w:rPr>
          <w:rFonts w:eastAsia="Calibri"/>
          <w:lang w:val="en-US"/>
        </w:rPr>
        <w:t xml:space="preserve">Marital </w:t>
      </w:r>
      <w:r w:rsidR="004B0E2D">
        <w:rPr>
          <w:rFonts w:eastAsia="Calibri"/>
          <w:lang w:val="en-US"/>
        </w:rPr>
        <w:t>s</w:t>
      </w:r>
      <w:r w:rsidRPr="1F48444C">
        <w:rPr>
          <w:rFonts w:eastAsia="Calibri"/>
          <w:lang w:val="en-US"/>
        </w:rPr>
        <w:t xml:space="preserve">tatus (college sector only – </w:t>
      </w:r>
      <w:r w:rsidR="004B0E2D">
        <w:rPr>
          <w:rFonts w:eastAsia="Calibri"/>
          <w:lang w:val="en-US"/>
        </w:rPr>
        <w:t>HESA do not collect this</w:t>
      </w:r>
      <w:r w:rsidRPr="1F48444C">
        <w:rPr>
          <w:rFonts w:eastAsia="Calibri"/>
          <w:lang w:val="en-US"/>
        </w:rPr>
        <w:t xml:space="preserve"> for the university sector</w:t>
      </w:r>
      <w:r>
        <w:rPr>
          <w:rFonts w:eastAsia="Calibri"/>
          <w:lang w:val="en-US"/>
        </w:rPr>
        <w:t>)</w:t>
      </w:r>
      <w:r w:rsidR="00BB654D">
        <w:rPr>
          <w:rFonts w:eastAsia="Calibri"/>
          <w:lang w:val="en-US"/>
        </w:rPr>
        <w:t>.</w:t>
      </w:r>
    </w:p>
    <w:p w14:paraId="43D67CEA" w14:textId="6AD68F77" w:rsidR="00D2096F" w:rsidRDefault="00D2096F" w:rsidP="00807306">
      <w:pPr>
        <w:pStyle w:val="Numbering"/>
        <w:numPr>
          <w:ilvl w:val="0"/>
          <w:numId w:val="12"/>
        </w:numPr>
      </w:pPr>
      <w:r w:rsidRPr="30AFF2D1">
        <w:t xml:space="preserve">This information can be found in </w:t>
      </w:r>
      <w:r>
        <w:t>B</w:t>
      </w:r>
      <w:r w:rsidRPr="30AFF2D1">
        <w:t xml:space="preserve">ackground </w:t>
      </w:r>
      <w:r>
        <w:t>T</w:t>
      </w:r>
      <w:r w:rsidRPr="30AFF2D1">
        <w:t>ables 16 and 17.</w:t>
      </w:r>
    </w:p>
    <w:p w14:paraId="4C5D63A9" w14:textId="77777777" w:rsidR="00E3447C" w:rsidRDefault="00E3447C" w:rsidP="00092BCA">
      <w:pPr>
        <w:pStyle w:val="Heading2"/>
        <w:rPr>
          <w:rFonts w:eastAsia="Calibri" w:cstheme="minorHAnsi"/>
          <w:lang w:val="en-US"/>
        </w:rPr>
      </w:pPr>
      <w:r>
        <w:rPr>
          <w:rFonts w:eastAsia="Calibri" w:cstheme="minorHAnsi"/>
          <w:lang w:val="en-US"/>
        </w:rPr>
        <w:br w:type="page"/>
      </w:r>
    </w:p>
    <w:p w14:paraId="2374ED48" w14:textId="44B0C409" w:rsidR="004B7E7A" w:rsidRPr="00092BCA" w:rsidRDefault="004B7E7A" w:rsidP="00092BCA">
      <w:pPr>
        <w:pStyle w:val="Heading2"/>
        <w:rPr>
          <w:rFonts w:eastAsia="Calibri" w:cstheme="minorHAnsi"/>
          <w:lang w:val="en-US"/>
        </w:rPr>
      </w:pPr>
      <w:bookmarkStart w:id="33" w:name="_Toc179962771"/>
      <w:r w:rsidRPr="00092BCA">
        <w:rPr>
          <w:rFonts w:eastAsia="Calibri" w:cstheme="minorHAnsi"/>
          <w:lang w:val="en-US"/>
        </w:rPr>
        <w:lastRenderedPageBreak/>
        <w:t>Metadata table</w:t>
      </w:r>
      <w:bookmarkEnd w:id="33"/>
    </w:p>
    <w:tbl>
      <w:tblPr>
        <w:tblW w:w="9075" w:type="dxa"/>
        <w:tblInd w:w="105" w:type="dxa"/>
        <w:tblLayout w:type="fixed"/>
        <w:tblLook w:val="04A0" w:firstRow="1" w:lastRow="0" w:firstColumn="1" w:lastColumn="0" w:noHBand="0" w:noVBand="1"/>
        <w:tblDescription w:val="Metadata table"/>
      </w:tblPr>
      <w:tblGrid>
        <w:gridCol w:w="2747"/>
        <w:gridCol w:w="6328"/>
      </w:tblGrid>
      <w:tr w:rsidR="00CB31A8" w:rsidRPr="00C40996" w14:paraId="2E7930E5" w14:textId="77777777" w:rsidTr="00702416">
        <w:trPr>
          <w:trHeight w:val="567"/>
          <w:tblHeader/>
        </w:trPr>
        <w:tc>
          <w:tcPr>
            <w:tcW w:w="2747" w:type="dxa"/>
            <w:shd w:val="clear" w:color="auto" w:fill="2F1A45"/>
            <w:vAlign w:val="center"/>
          </w:tcPr>
          <w:p w14:paraId="1507BBB7" w14:textId="77777777" w:rsidR="00CB31A8" w:rsidRPr="00C40996" w:rsidRDefault="00CB31A8" w:rsidP="00C538C3">
            <w:pPr>
              <w:rPr>
                <w:rFonts w:cstheme="minorHAnsi"/>
                <w:b/>
              </w:rPr>
            </w:pPr>
            <w:r w:rsidRPr="00C40996">
              <w:rPr>
                <w:rFonts w:eastAsia="Calibri" w:cstheme="minorHAnsi"/>
                <w:b/>
                <w:szCs w:val="24"/>
                <w:lang w:val="en-US"/>
              </w:rPr>
              <w:t xml:space="preserve">Metadata Indicator </w:t>
            </w:r>
          </w:p>
        </w:tc>
        <w:tc>
          <w:tcPr>
            <w:tcW w:w="6328" w:type="dxa"/>
            <w:shd w:val="clear" w:color="auto" w:fill="2F1A45"/>
            <w:vAlign w:val="center"/>
          </w:tcPr>
          <w:p w14:paraId="64B9297B" w14:textId="77777777" w:rsidR="00CB31A8" w:rsidRPr="00C40996" w:rsidRDefault="00CB31A8" w:rsidP="00C538C3">
            <w:pPr>
              <w:rPr>
                <w:rFonts w:cstheme="minorHAnsi"/>
                <w:b/>
              </w:rPr>
            </w:pPr>
            <w:r w:rsidRPr="00C40996">
              <w:rPr>
                <w:rFonts w:eastAsia="Calibri" w:cstheme="minorHAnsi"/>
                <w:b/>
                <w:szCs w:val="24"/>
                <w:lang w:val="en-US"/>
              </w:rPr>
              <w:t xml:space="preserve">Description </w:t>
            </w:r>
          </w:p>
        </w:tc>
      </w:tr>
      <w:tr w:rsidR="00CB31A8" w:rsidRPr="00092BCA" w14:paraId="4BF7E87E" w14:textId="77777777" w:rsidTr="00C538C3">
        <w:trPr>
          <w:trHeight w:val="454"/>
        </w:trPr>
        <w:tc>
          <w:tcPr>
            <w:tcW w:w="2747" w:type="dxa"/>
            <w:vAlign w:val="center"/>
          </w:tcPr>
          <w:p w14:paraId="7A559987" w14:textId="77777777" w:rsidR="00CB31A8" w:rsidRPr="00092BCA" w:rsidRDefault="00CB31A8" w:rsidP="00C538C3">
            <w:pPr>
              <w:rPr>
                <w:rFonts w:cstheme="minorHAnsi"/>
              </w:rPr>
            </w:pPr>
            <w:r w:rsidRPr="00092BCA">
              <w:rPr>
                <w:rFonts w:eastAsia="Calibri" w:cstheme="minorHAnsi"/>
                <w:lang w:val="en-US"/>
              </w:rPr>
              <w:t xml:space="preserve">Publication Title </w:t>
            </w:r>
          </w:p>
        </w:tc>
        <w:tc>
          <w:tcPr>
            <w:tcW w:w="6328" w:type="dxa"/>
            <w:vAlign w:val="center"/>
          </w:tcPr>
          <w:p w14:paraId="40EFD62A" w14:textId="77777777" w:rsidR="00CB31A8" w:rsidRPr="00092BCA" w:rsidRDefault="00CB31A8" w:rsidP="00C538C3">
            <w:pPr>
              <w:rPr>
                <w:rFonts w:cstheme="minorHAnsi"/>
              </w:rPr>
            </w:pPr>
            <w:r w:rsidRPr="00092BCA">
              <w:rPr>
                <w:rFonts w:eastAsia="Calibri" w:cstheme="minorHAnsi"/>
                <w:lang w:val="en-US"/>
              </w:rPr>
              <w:t>Report on Widening Access, 2022-23</w:t>
            </w:r>
          </w:p>
        </w:tc>
      </w:tr>
      <w:tr w:rsidR="00CB31A8" w:rsidRPr="00092BCA" w14:paraId="4281C1B0" w14:textId="77777777" w:rsidTr="00B01F7C">
        <w:trPr>
          <w:trHeight w:val="1455"/>
        </w:trPr>
        <w:tc>
          <w:tcPr>
            <w:tcW w:w="2747" w:type="dxa"/>
            <w:shd w:val="clear" w:color="auto" w:fill="EDF8F9"/>
            <w:vAlign w:val="center"/>
          </w:tcPr>
          <w:p w14:paraId="009EFE72" w14:textId="77777777" w:rsidR="00CB31A8" w:rsidRPr="00092BCA" w:rsidRDefault="00CB31A8" w:rsidP="00C538C3">
            <w:pPr>
              <w:rPr>
                <w:rFonts w:cstheme="minorHAnsi"/>
              </w:rPr>
            </w:pPr>
            <w:r w:rsidRPr="00092BCA">
              <w:rPr>
                <w:rFonts w:eastAsia="Calibri" w:cstheme="minorHAnsi"/>
                <w:lang w:val="en-US"/>
              </w:rPr>
              <w:t xml:space="preserve">Description </w:t>
            </w:r>
          </w:p>
        </w:tc>
        <w:tc>
          <w:tcPr>
            <w:tcW w:w="6328" w:type="dxa"/>
            <w:shd w:val="clear" w:color="auto" w:fill="EDF8F9"/>
            <w:vAlign w:val="center"/>
          </w:tcPr>
          <w:p w14:paraId="6E9418A1" w14:textId="77777777" w:rsidR="00CB31A8" w:rsidRPr="00092BCA" w:rsidRDefault="00CB31A8" w:rsidP="00C538C3">
            <w:r w:rsidRPr="00092BCA">
              <w:rPr>
                <w:rFonts w:eastAsia="Calibri"/>
                <w:lang w:val="en-US"/>
              </w:rPr>
              <w:t>Includes up to</w:t>
            </w:r>
            <w:r w:rsidRPr="00092BCA" w:rsidDel="68F5E67A">
              <w:rPr>
                <w:rFonts w:eastAsia="Calibri"/>
                <w:lang w:val="en-US"/>
              </w:rPr>
              <w:t xml:space="preserve"> </w:t>
            </w:r>
            <w:r w:rsidRPr="00092BCA">
              <w:rPr>
                <w:rFonts w:eastAsia="Calibri"/>
                <w:lang w:val="en-US"/>
              </w:rPr>
              <w:t>ten academic years of data on Higher Education students, entrants and qualifiers in Scottish Higher Education Institutions and Colleges presented as time series, covering selected periods between 2013-14 to 2022-23 (as appropriate)</w:t>
            </w:r>
          </w:p>
        </w:tc>
      </w:tr>
      <w:tr w:rsidR="00CB31A8" w:rsidRPr="00092BCA" w14:paraId="5BBB43F8" w14:textId="77777777" w:rsidTr="00C538C3">
        <w:trPr>
          <w:trHeight w:val="454"/>
        </w:trPr>
        <w:tc>
          <w:tcPr>
            <w:tcW w:w="2747" w:type="dxa"/>
            <w:vAlign w:val="center"/>
          </w:tcPr>
          <w:p w14:paraId="06F06338" w14:textId="77777777" w:rsidR="00CB31A8" w:rsidRPr="00092BCA" w:rsidRDefault="00CB31A8" w:rsidP="00C538C3">
            <w:pPr>
              <w:rPr>
                <w:rFonts w:cstheme="minorHAnsi"/>
              </w:rPr>
            </w:pPr>
            <w:r w:rsidRPr="00092BCA">
              <w:rPr>
                <w:rFonts w:eastAsia="Calibri" w:cstheme="minorHAnsi"/>
                <w:lang w:val="en-US"/>
              </w:rPr>
              <w:t xml:space="preserve">Theme </w:t>
            </w:r>
          </w:p>
        </w:tc>
        <w:tc>
          <w:tcPr>
            <w:tcW w:w="6328" w:type="dxa"/>
            <w:vAlign w:val="center"/>
          </w:tcPr>
          <w:p w14:paraId="4F1B0C7F" w14:textId="77777777" w:rsidR="00CB31A8" w:rsidRPr="00092BCA" w:rsidRDefault="00CB31A8" w:rsidP="00C538C3">
            <w:pPr>
              <w:rPr>
                <w:rFonts w:cstheme="minorHAnsi"/>
              </w:rPr>
            </w:pPr>
            <w:r w:rsidRPr="00092BCA">
              <w:rPr>
                <w:rFonts w:eastAsia="Calibri" w:cstheme="minorHAnsi"/>
                <w:lang w:val="en-US"/>
              </w:rPr>
              <w:t>Further and Higher Education, Widening Access</w:t>
            </w:r>
          </w:p>
        </w:tc>
      </w:tr>
      <w:tr w:rsidR="00CB31A8" w:rsidRPr="00092BCA" w14:paraId="3E27D1B4" w14:textId="77777777" w:rsidTr="00C538C3">
        <w:trPr>
          <w:trHeight w:val="454"/>
        </w:trPr>
        <w:tc>
          <w:tcPr>
            <w:tcW w:w="2747" w:type="dxa"/>
            <w:shd w:val="clear" w:color="auto" w:fill="EDF8F9"/>
            <w:vAlign w:val="center"/>
          </w:tcPr>
          <w:p w14:paraId="3A2B6726" w14:textId="77777777" w:rsidR="00CB31A8" w:rsidRPr="00092BCA" w:rsidRDefault="00CB31A8" w:rsidP="00C538C3">
            <w:pPr>
              <w:rPr>
                <w:rFonts w:cstheme="minorHAnsi"/>
              </w:rPr>
            </w:pPr>
            <w:r w:rsidRPr="00092BCA">
              <w:rPr>
                <w:rFonts w:eastAsia="Calibri" w:cstheme="minorHAnsi"/>
                <w:lang w:val="en-US"/>
              </w:rPr>
              <w:t xml:space="preserve">Topic </w:t>
            </w:r>
          </w:p>
        </w:tc>
        <w:tc>
          <w:tcPr>
            <w:tcW w:w="6328" w:type="dxa"/>
            <w:shd w:val="clear" w:color="auto" w:fill="EDF8F9"/>
            <w:vAlign w:val="center"/>
          </w:tcPr>
          <w:p w14:paraId="2E20DF6B" w14:textId="77777777" w:rsidR="00CB31A8" w:rsidRPr="00092BCA" w:rsidRDefault="00CB31A8" w:rsidP="00C538C3">
            <w:pPr>
              <w:rPr>
                <w:rFonts w:cstheme="minorHAnsi"/>
              </w:rPr>
            </w:pPr>
            <w:r w:rsidRPr="00092BCA">
              <w:rPr>
                <w:rFonts w:eastAsia="Calibri" w:cstheme="minorHAnsi"/>
                <w:lang w:val="en-US"/>
              </w:rPr>
              <w:t>Student Information</w:t>
            </w:r>
          </w:p>
        </w:tc>
      </w:tr>
      <w:tr w:rsidR="00CB31A8" w:rsidRPr="00092BCA" w14:paraId="24D54205" w14:textId="77777777" w:rsidTr="00C538C3">
        <w:trPr>
          <w:trHeight w:val="567"/>
        </w:trPr>
        <w:tc>
          <w:tcPr>
            <w:tcW w:w="2747" w:type="dxa"/>
            <w:vAlign w:val="center"/>
          </w:tcPr>
          <w:p w14:paraId="18A4CB52" w14:textId="77777777" w:rsidR="00CB31A8" w:rsidRPr="00092BCA" w:rsidRDefault="00CB31A8" w:rsidP="00C538C3">
            <w:pPr>
              <w:rPr>
                <w:rFonts w:cstheme="minorHAnsi"/>
              </w:rPr>
            </w:pPr>
            <w:r w:rsidRPr="00092BCA">
              <w:rPr>
                <w:rFonts w:eastAsia="Calibri" w:cstheme="minorHAnsi"/>
                <w:lang w:val="en-US"/>
              </w:rPr>
              <w:t xml:space="preserve">Format </w:t>
            </w:r>
          </w:p>
        </w:tc>
        <w:tc>
          <w:tcPr>
            <w:tcW w:w="6328" w:type="dxa"/>
            <w:vAlign w:val="center"/>
          </w:tcPr>
          <w:p w14:paraId="0518D5F8" w14:textId="77777777" w:rsidR="00CB31A8" w:rsidRPr="00092BCA" w:rsidRDefault="00CB31A8" w:rsidP="00C538C3">
            <w:pPr>
              <w:rPr>
                <w:rFonts w:cstheme="minorHAnsi"/>
              </w:rPr>
            </w:pPr>
            <w:r w:rsidRPr="00092BCA">
              <w:rPr>
                <w:rFonts w:eastAsia="Calibri" w:cstheme="minorHAnsi"/>
                <w:lang w:val="en-US"/>
              </w:rPr>
              <w:t xml:space="preserve">Web report, PDF and Excel Tables </w:t>
            </w:r>
          </w:p>
        </w:tc>
      </w:tr>
      <w:tr w:rsidR="00CB31A8" w:rsidRPr="00092BCA" w14:paraId="2945EDC8" w14:textId="77777777" w:rsidTr="00B01F7C">
        <w:trPr>
          <w:trHeight w:val="1795"/>
        </w:trPr>
        <w:tc>
          <w:tcPr>
            <w:tcW w:w="2747" w:type="dxa"/>
            <w:shd w:val="clear" w:color="auto" w:fill="EDF8F9"/>
            <w:vAlign w:val="center"/>
          </w:tcPr>
          <w:p w14:paraId="245272C4" w14:textId="77777777" w:rsidR="00CB31A8" w:rsidRPr="00092BCA" w:rsidRDefault="00CB31A8" w:rsidP="00C538C3">
            <w:pPr>
              <w:rPr>
                <w:rFonts w:cstheme="minorHAnsi"/>
              </w:rPr>
            </w:pPr>
            <w:r w:rsidRPr="00092BCA">
              <w:rPr>
                <w:rFonts w:eastAsia="Calibri" w:cstheme="minorHAnsi"/>
                <w:lang w:val="en-US"/>
              </w:rPr>
              <w:t>Data Source(s)</w:t>
            </w:r>
          </w:p>
        </w:tc>
        <w:tc>
          <w:tcPr>
            <w:tcW w:w="6328" w:type="dxa"/>
            <w:shd w:val="clear" w:color="auto" w:fill="EDF8F9"/>
            <w:vAlign w:val="center"/>
          </w:tcPr>
          <w:p w14:paraId="0A097E7B" w14:textId="77777777" w:rsidR="00CB31A8" w:rsidRPr="00092BCA" w:rsidRDefault="00CB31A8" w:rsidP="00C538C3">
            <w:pPr>
              <w:rPr>
                <w:rFonts w:cstheme="minorHAnsi"/>
              </w:rPr>
            </w:pPr>
            <w:r w:rsidRPr="00092BCA">
              <w:rPr>
                <w:rFonts w:eastAsia="Calibri" w:cstheme="minorHAnsi"/>
                <w:lang w:val="en-US"/>
              </w:rPr>
              <w:t xml:space="preserve">This publication contains information on students from both colleges and higher education institutions (HEIs) who are attending Higher Education courses in Scotland. These statistics are collected by the Higher Education Statistics Agency (HESA) from HEIs and by SFC from further education colleges (colleges). </w:t>
            </w:r>
          </w:p>
        </w:tc>
      </w:tr>
      <w:tr w:rsidR="00CB31A8" w:rsidRPr="00092BCA" w14:paraId="35F55174" w14:textId="77777777" w:rsidTr="00092BCA">
        <w:trPr>
          <w:trHeight w:val="553"/>
        </w:trPr>
        <w:tc>
          <w:tcPr>
            <w:tcW w:w="2747" w:type="dxa"/>
            <w:vAlign w:val="center"/>
          </w:tcPr>
          <w:p w14:paraId="7ABFD4DD" w14:textId="77777777" w:rsidR="00CB31A8" w:rsidRPr="00092BCA" w:rsidRDefault="00CB31A8" w:rsidP="00C538C3">
            <w:pPr>
              <w:rPr>
                <w:rFonts w:cstheme="minorHAnsi"/>
              </w:rPr>
            </w:pPr>
            <w:r w:rsidRPr="00092BCA">
              <w:rPr>
                <w:rFonts w:eastAsia="Calibri" w:cstheme="minorHAnsi"/>
                <w:lang w:val="en-US"/>
              </w:rPr>
              <w:t xml:space="preserve">Date that data are acquired </w:t>
            </w:r>
          </w:p>
        </w:tc>
        <w:tc>
          <w:tcPr>
            <w:tcW w:w="6328" w:type="dxa"/>
            <w:vAlign w:val="center"/>
          </w:tcPr>
          <w:p w14:paraId="2C561FDE" w14:textId="77777777" w:rsidR="00CB31A8" w:rsidRPr="00092BCA" w:rsidRDefault="00CB31A8" w:rsidP="00C538C3">
            <w:pPr>
              <w:rPr>
                <w:rFonts w:cstheme="minorHAnsi"/>
              </w:rPr>
            </w:pPr>
            <w:r w:rsidRPr="00092BCA">
              <w:rPr>
                <w:rFonts w:eastAsia="Calibri" w:cstheme="minorHAnsi"/>
                <w:lang w:val="en-US"/>
              </w:rPr>
              <w:t>University Graduate Outcome data: April 2024</w:t>
            </w:r>
          </w:p>
          <w:p w14:paraId="7D682257" w14:textId="1EFA4FA8" w:rsidR="00B01F7C" w:rsidRDefault="00CB31A8" w:rsidP="00B01F7C">
            <w:pPr>
              <w:rPr>
                <w:rFonts w:eastAsia="Calibri" w:cstheme="minorHAnsi"/>
                <w:lang w:val="en-US"/>
              </w:rPr>
            </w:pPr>
            <w:r w:rsidRPr="00B01F7C">
              <w:rPr>
                <w:rFonts w:eastAsia="Calibri" w:cstheme="minorHAnsi"/>
                <w:lang w:val="en-US"/>
              </w:rPr>
              <w:t>College student and outcomes data: April 2024</w:t>
            </w:r>
          </w:p>
          <w:p w14:paraId="7F114B9B" w14:textId="011E2B1A" w:rsidR="00CB31A8" w:rsidRPr="00B01F7C" w:rsidRDefault="00CB31A8" w:rsidP="00B01F7C">
            <w:pPr>
              <w:rPr>
                <w:rFonts w:eastAsia="Calibri" w:cstheme="minorHAnsi"/>
                <w:lang w:val="en-US"/>
              </w:rPr>
            </w:pPr>
            <w:r w:rsidRPr="00B01F7C">
              <w:rPr>
                <w:rFonts w:eastAsia="Calibri" w:cstheme="minorHAnsi"/>
                <w:lang w:val="en-US"/>
              </w:rPr>
              <w:t>HEI student data: May 2024</w:t>
            </w:r>
          </w:p>
          <w:p w14:paraId="558E6FD8" w14:textId="77777777" w:rsidR="00CB31A8" w:rsidRPr="00092BCA" w:rsidRDefault="00CB31A8" w:rsidP="00C538C3">
            <w:pPr>
              <w:rPr>
                <w:rFonts w:cstheme="minorHAnsi"/>
              </w:rPr>
            </w:pPr>
            <w:r w:rsidRPr="00092BCA">
              <w:rPr>
                <w:rFonts w:eastAsia="Calibri" w:cstheme="minorHAnsi"/>
                <w:lang w:val="en-US"/>
              </w:rPr>
              <w:t>College leaver destinations data: November 2023, revised March 2024</w:t>
            </w:r>
          </w:p>
          <w:p w14:paraId="54659918" w14:textId="52566336" w:rsidR="00CB31A8" w:rsidRPr="00092BCA" w:rsidRDefault="00CB31A8" w:rsidP="00C538C3">
            <w:pPr>
              <w:rPr>
                <w:rFonts w:cstheme="minorHAnsi"/>
              </w:rPr>
            </w:pPr>
            <w:r w:rsidRPr="00092BCA">
              <w:rPr>
                <w:rFonts w:eastAsia="Calibri" w:cstheme="minorHAnsi"/>
                <w:lang w:val="en-US"/>
              </w:rPr>
              <w:t xml:space="preserve">HEI retention data: </w:t>
            </w:r>
            <w:r w:rsidR="00A40EB6">
              <w:rPr>
                <w:rFonts w:eastAsia="Calibri" w:cstheme="minorHAnsi"/>
              </w:rPr>
              <w:t>October 2024</w:t>
            </w:r>
          </w:p>
          <w:p w14:paraId="58AF0F93" w14:textId="77777777" w:rsidR="00CB31A8" w:rsidRPr="00092BCA" w:rsidRDefault="00CB31A8" w:rsidP="00C538C3">
            <w:pPr>
              <w:rPr>
                <w:rFonts w:cstheme="minorHAnsi"/>
              </w:rPr>
            </w:pPr>
            <w:r w:rsidRPr="00092BCA">
              <w:rPr>
                <w:rFonts w:eastAsia="Calibri" w:cstheme="minorHAnsi"/>
                <w:lang w:val="en-US"/>
              </w:rPr>
              <w:t>HEI staffing data: February 2024</w:t>
            </w:r>
          </w:p>
          <w:p w14:paraId="4EF55CC8" w14:textId="799BDA30" w:rsidR="00CB31A8" w:rsidRPr="00092BCA" w:rsidRDefault="00CB31A8" w:rsidP="00C538C3">
            <w:pPr>
              <w:rPr>
                <w:rFonts w:cstheme="minorHAnsi"/>
              </w:rPr>
            </w:pPr>
            <w:r w:rsidRPr="00092BCA">
              <w:rPr>
                <w:rFonts w:eastAsia="Calibri" w:cstheme="minorHAnsi"/>
                <w:lang w:val="en-US"/>
              </w:rPr>
              <w:t xml:space="preserve">Articulation data: </w:t>
            </w:r>
            <w:r w:rsidR="00A40EB6">
              <w:rPr>
                <w:rFonts w:eastAsia="Calibri" w:cstheme="minorHAnsi"/>
                <w:lang w:val="en-US"/>
              </w:rPr>
              <w:t>November 2024</w:t>
            </w:r>
          </w:p>
        </w:tc>
      </w:tr>
      <w:tr w:rsidR="00CB31A8" w:rsidRPr="00092BCA" w14:paraId="35E2EF62" w14:textId="77777777" w:rsidTr="00C538C3">
        <w:trPr>
          <w:trHeight w:val="454"/>
        </w:trPr>
        <w:tc>
          <w:tcPr>
            <w:tcW w:w="2747" w:type="dxa"/>
            <w:shd w:val="clear" w:color="auto" w:fill="EDF8F9"/>
            <w:vAlign w:val="center"/>
          </w:tcPr>
          <w:p w14:paraId="1F429F17" w14:textId="77777777" w:rsidR="00CB31A8" w:rsidRPr="00092BCA" w:rsidRDefault="00CB31A8" w:rsidP="00C538C3">
            <w:pPr>
              <w:rPr>
                <w:rFonts w:cstheme="minorHAnsi"/>
              </w:rPr>
            </w:pPr>
            <w:r w:rsidRPr="00092BCA">
              <w:rPr>
                <w:rFonts w:eastAsia="Calibri" w:cstheme="minorHAnsi"/>
                <w:lang w:val="en-US"/>
              </w:rPr>
              <w:t>Release date</w:t>
            </w:r>
          </w:p>
        </w:tc>
        <w:tc>
          <w:tcPr>
            <w:tcW w:w="6328" w:type="dxa"/>
            <w:shd w:val="clear" w:color="auto" w:fill="EDF8F9"/>
            <w:vAlign w:val="center"/>
          </w:tcPr>
          <w:p w14:paraId="59DE07ED" w14:textId="77777777" w:rsidR="00CB31A8" w:rsidRPr="00092BCA" w:rsidRDefault="00CB31A8" w:rsidP="00C538C3">
            <w:pPr>
              <w:rPr>
                <w:rFonts w:cstheme="minorHAnsi"/>
              </w:rPr>
            </w:pPr>
            <w:r w:rsidRPr="00092BCA">
              <w:rPr>
                <w:rFonts w:eastAsia="Calibri" w:cstheme="minorHAnsi"/>
                <w:lang w:val="en-US"/>
              </w:rPr>
              <w:t>22 October 2024</w:t>
            </w:r>
          </w:p>
        </w:tc>
      </w:tr>
      <w:tr w:rsidR="00CB31A8" w:rsidRPr="00092BCA" w14:paraId="030A39BB" w14:textId="77777777" w:rsidTr="00C538C3">
        <w:trPr>
          <w:trHeight w:val="454"/>
        </w:trPr>
        <w:tc>
          <w:tcPr>
            <w:tcW w:w="2747" w:type="dxa"/>
            <w:vAlign w:val="center"/>
          </w:tcPr>
          <w:p w14:paraId="5E0645BC" w14:textId="77777777" w:rsidR="00CB31A8" w:rsidRPr="00092BCA" w:rsidRDefault="00CB31A8" w:rsidP="00C538C3">
            <w:pPr>
              <w:rPr>
                <w:rFonts w:cstheme="minorHAnsi"/>
              </w:rPr>
            </w:pPr>
            <w:r w:rsidRPr="00092BCA">
              <w:rPr>
                <w:rFonts w:eastAsia="Calibri" w:cstheme="minorHAnsi"/>
                <w:lang w:val="en-US"/>
              </w:rPr>
              <w:t xml:space="preserve">Frequency </w:t>
            </w:r>
          </w:p>
        </w:tc>
        <w:tc>
          <w:tcPr>
            <w:tcW w:w="6328" w:type="dxa"/>
            <w:vAlign w:val="center"/>
          </w:tcPr>
          <w:p w14:paraId="31AE33E9" w14:textId="77777777" w:rsidR="00CB31A8" w:rsidRPr="00092BCA" w:rsidRDefault="00CB31A8" w:rsidP="00C538C3">
            <w:pPr>
              <w:rPr>
                <w:rFonts w:cstheme="minorHAnsi"/>
              </w:rPr>
            </w:pPr>
            <w:r w:rsidRPr="00092BCA">
              <w:rPr>
                <w:rFonts w:eastAsia="Calibri" w:cstheme="minorHAnsi"/>
                <w:lang w:val="en-US"/>
              </w:rPr>
              <w:t>Annual</w:t>
            </w:r>
          </w:p>
        </w:tc>
      </w:tr>
      <w:tr w:rsidR="00CB31A8" w:rsidRPr="00092BCA" w14:paraId="69E76BF8" w14:textId="77777777" w:rsidTr="00C538C3">
        <w:trPr>
          <w:trHeight w:val="850"/>
        </w:trPr>
        <w:tc>
          <w:tcPr>
            <w:tcW w:w="2747" w:type="dxa"/>
            <w:shd w:val="clear" w:color="auto" w:fill="EDF8F9"/>
            <w:vAlign w:val="center"/>
          </w:tcPr>
          <w:p w14:paraId="3A55645F" w14:textId="77777777" w:rsidR="00CB31A8" w:rsidRPr="00092BCA" w:rsidRDefault="00CB31A8" w:rsidP="00C538C3">
            <w:pPr>
              <w:rPr>
                <w:rFonts w:cstheme="minorHAnsi"/>
              </w:rPr>
            </w:pPr>
            <w:r w:rsidRPr="00092BCA">
              <w:rPr>
                <w:rFonts w:eastAsia="Calibri" w:cstheme="minorHAnsi"/>
                <w:lang w:val="en-US"/>
              </w:rPr>
              <w:t>Timeframe of data and timeliness</w:t>
            </w:r>
          </w:p>
        </w:tc>
        <w:tc>
          <w:tcPr>
            <w:tcW w:w="6328" w:type="dxa"/>
            <w:shd w:val="clear" w:color="auto" w:fill="EDF8F9"/>
            <w:vAlign w:val="center"/>
          </w:tcPr>
          <w:p w14:paraId="78F85525" w14:textId="77777777" w:rsidR="00CB31A8" w:rsidRPr="00092BCA" w:rsidRDefault="00CB31A8" w:rsidP="00C538C3">
            <w:pPr>
              <w:rPr>
                <w:rFonts w:cstheme="minorHAnsi"/>
              </w:rPr>
            </w:pPr>
            <w:r w:rsidRPr="00092BCA">
              <w:rPr>
                <w:rFonts w:eastAsia="Calibri" w:cstheme="minorHAnsi"/>
                <w:lang w:val="en-US"/>
              </w:rPr>
              <w:t xml:space="preserve">Trend data are presented over various time periods between 2013-14 and 2022-23, as appropriate. </w:t>
            </w:r>
          </w:p>
        </w:tc>
      </w:tr>
      <w:tr w:rsidR="00CB31A8" w:rsidRPr="00092BCA" w14:paraId="13D11CAF" w14:textId="77777777" w:rsidTr="00B01F7C">
        <w:trPr>
          <w:trHeight w:val="5522"/>
        </w:trPr>
        <w:tc>
          <w:tcPr>
            <w:tcW w:w="2747" w:type="dxa"/>
            <w:vAlign w:val="center"/>
          </w:tcPr>
          <w:p w14:paraId="6E25E8ED" w14:textId="77777777" w:rsidR="00CB31A8" w:rsidRPr="00092BCA" w:rsidRDefault="00CB31A8" w:rsidP="00C538C3">
            <w:pPr>
              <w:rPr>
                <w:rFonts w:cstheme="minorHAnsi"/>
              </w:rPr>
            </w:pPr>
            <w:r w:rsidRPr="00092BCA">
              <w:rPr>
                <w:rFonts w:eastAsia="Calibri" w:cstheme="minorHAnsi"/>
                <w:lang w:val="en-US"/>
              </w:rPr>
              <w:lastRenderedPageBreak/>
              <w:t xml:space="preserve">Continuity of data </w:t>
            </w:r>
          </w:p>
        </w:tc>
        <w:tc>
          <w:tcPr>
            <w:tcW w:w="6328" w:type="dxa"/>
          </w:tcPr>
          <w:p w14:paraId="3B7044EE" w14:textId="11176B74" w:rsidR="00CB31A8" w:rsidRPr="00092BCA" w:rsidRDefault="00CB31A8" w:rsidP="00C538C3">
            <w:pPr>
              <w:rPr>
                <w:rFonts w:cstheme="minorHAnsi"/>
              </w:rPr>
            </w:pPr>
            <w:r w:rsidRPr="00092BCA">
              <w:rPr>
                <w:rFonts w:eastAsia="Calibri" w:cstheme="minorHAnsi"/>
                <w:lang w:val="en-US"/>
              </w:rPr>
              <w:t>This report has separate strands. The first, relates to the key Scottish Government targets and related measures considering full-time first degree students (at university) and all undergraduate higher education entrants (at both universities and colleges). The second considers broader analysis of access to further and higher education. These two strands overlap for some measures and, therefore, these areas are presented twice in this report in some cases</w:t>
            </w:r>
            <w:r w:rsidR="006E7996" w:rsidRPr="00092BCA">
              <w:rPr>
                <w:rFonts w:eastAsia="Calibri" w:cstheme="minorHAnsi"/>
                <w:lang w:val="en-US"/>
              </w:rPr>
              <w:t xml:space="preserve">. </w:t>
            </w:r>
          </w:p>
          <w:p w14:paraId="77C0DE1E" w14:textId="0A8982D4" w:rsidR="00CB31A8" w:rsidRPr="00092BCA" w:rsidRDefault="00CB31A8" w:rsidP="00C538C3">
            <w:pPr>
              <w:rPr>
                <w:rFonts w:cstheme="minorHAnsi"/>
              </w:rPr>
            </w:pPr>
            <w:r w:rsidRPr="00092BCA">
              <w:rPr>
                <w:rFonts w:eastAsia="Calibri" w:cstheme="minorHAnsi"/>
                <w:lang w:val="en-US"/>
              </w:rPr>
              <w:t xml:space="preserve">The data presented in each of these strands currently differ due to the data specification and focus used. However, changes have been implemented to ensure that the data specification of these strands is more aligned from 2017-18 entrants and onwards where both use the </w:t>
            </w:r>
            <w:hyperlink r:id="rId33">
              <w:r w:rsidRPr="00092BCA">
                <w:rPr>
                  <w:rStyle w:val="Hyperlink"/>
                  <w:rFonts w:eastAsia="Calibri" w:cstheme="minorHAnsi"/>
                  <w:sz w:val="22"/>
                  <w:lang w:val="en-US"/>
                </w:rPr>
                <w:t>SIMD2016</w:t>
              </w:r>
            </w:hyperlink>
            <w:r w:rsidRPr="00092BCA">
              <w:rPr>
                <w:rFonts w:eastAsia="Calibri" w:cstheme="minorHAnsi"/>
                <w:lang w:val="en-US"/>
              </w:rPr>
              <w:t xml:space="preserve"> file for socio-economic analysis up to 2020-21, and the </w:t>
            </w:r>
            <w:hyperlink r:id="rId34" w:history="1">
              <w:r w:rsidRPr="00092BCA">
                <w:rPr>
                  <w:rStyle w:val="Hyperlink"/>
                  <w:rFonts w:eastAsia="Calibri" w:cstheme="minorHAnsi"/>
                  <w:sz w:val="22"/>
                  <w:lang w:val="en-US"/>
                </w:rPr>
                <w:t>SIMD2020</w:t>
              </w:r>
            </w:hyperlink>
            <w:r w:rsidRPr="00092BCA">
              <w:rPr>
                <w:rFonts w:eastAsia="Calibri" w:cstheme="minorHAnsi"/>
                <w:lang w:val="en-US"/>
              </w:rPr>
              <w:t xml:space="preserve"> file for 2021-22 and 2022-23.</w:t>
            </w:r>
          </w:p>
          <w:p w14:paraId="3D161930" w14:textId="6B7EB8EB" w:rsidR="00CB31A8" w:rsidRPr="00092BCA" w:rsidRDefault="00CB31A8" w:rsidP="00C538C3">
            <w:pPr>
              <w:rPr>
                <w:rFonts w:cstheme="minorHAnsi"/>
              </w:rPr>
            </w:pPr>
            <w:r w:rsidRPr="00092BCA">
              <w:rPr>
                <w:rFonts w:eastAsia="Calibri" w:cstheme="minorHAnsi"/>
                <w:lang w:val="en-US"/>
              </w:rPr>
              <w:t>Data from Scottish colleges continue to exclude those students who do not complete the first 25% of their course (the point at which they become eligible for funding).</w:t>
            </w:r>
          </w:p>
        </w:tc>
      </w:tr>
      <w:tr w:rsidR="00CB31A8" w:rsidRPr="00092BCA" w14:paraId="3E4F9372" w14:textId="77777777" w:rsidTr="00C538C3">
        <w:trPr>
          <w:trHeight w:val="1077"/>
        </w:trPr>
        <w:tc>
          <w:tcPr>
            <w:tcW w:w="2747" w:type="dxa"/>
            <w:shd w:val="clear" w:color="auto" w:fill="EDF8F9"/>
            <w:vAlign w:val="center"/>
          </w:tcPr>
          <w:p w14:paraId="58461BAC" w14:textId="77777777" w:rsidR="00CB31A8" w:rsidRPr="00092BCA" w:rsidRDefault="00CB31A8" w:rsidP="00C538C3">
            <w:pPr>
              <w:rPr>
                <w:rFonts w:cstheme="minorHAnsi"/>
              </w:rPr>
            </w:pPr>
            <w:r w:rsidRPr="00092BCA">
              <w:rPr>
                <w:rFonts w:eastAsia="Calibri" w:cstheme="minorHAnsi"/>
                <w:lang w:val="en-US"/>
              </w:rPr>
              <w:t xml:space="preserve">Revisions statement </w:t>
            </w:r>
          </w:p>
        </w:tc>
        <w:tc>
          <w:tcPr>
            <w:tcW w:w="6328" w:type="dxa"/>
            <w:shd w:val="clear" w:color="auto" w:fill="EDF8F9"/>
            <w:vAlign w:val="center"/>
          </w:tcPr>
          <w:p w14:paraId="65445CBA" w14:textId="690D6E94" w:rsidR="00770789" w:rsidRDefault="007A57FB" w:rsidP="00C538C3">
            <w:pPr>
              <w:rPr>
                <w:rFonts w:eastAsia="Calibri"/>
                <w:lang w:val="en-US"/>
              </w:rPr>
            </w:pPr>
            <w:r>
              <w:rPr>
                <w:rFonts w:eastAsia="Calibri"/>
                <w:lang w:val="en-US"/>
              </w:rPr>
              <w:t>In COWA Table 1a, t</w:t>
            </w:r>
            <w:r w:rsidRPr="007A57FB">
              <w:rPr>
                <w:rFonts w:eastAsia="Calibri"/>
                <w:lang w:val="en-US"/>
              </w:rPr>
              <w:t>he % MD20 for colleges in 2021-22 has been revised for multiple colleges following a miscalculation in last year's publication whereby SIMD quintile unknown were mistakenly included in the % calculation. This also affects the</w:t>
            </w:r>
            <w:r w:rsidR="00770789">
              <w:rPr>
                <w:rFonts w:eastAsia="Calibri"/>
                <w:lang w:val="en-US"/>
              </w:rPr>
              <w:t xml:space="preserve"> sector’s</w:t>
            </w:r>
            <w:r w:rsidRPr="007A57FB">
              <w:rPr>
                <w:rFonts w:eastAsia="Calibri"/>
                <w:lang w:val="en-US"/>
              </w:rPr>
              <w:t xml:space="preserve"> Total HE at FEIs figure for % MD20, revised from 24.2% to 24.3%.</w:t>
            </w:r>
          </w:p>
          <w:p w14:paraId="2A18D6BA" w14:textId="2A2BD081" w:rsidR="007A57FB" w:rsidRDefault="00770789" w:rsidP="00C538C3">
            <w:pPr>
              <w:rPr>
                <w:rFonts w:eastAsia="Calibri"/>
                <w:lang w:val="en-US"/>
              </w:rPr>
            </w:pPr>
            <w:r w:rsidRPr="00770789">
              <w:rPr>
                <w:rFonts w:eastAsia="Calibri"/>
                <w:lang w:val="en-US"/>
              </w:rPr>
              <w:t>SFC took the decision to re-run articulation analysis for 2021-22 after it was discovered that some entrant records had also been reported in previous years.</w:t>
            </w:r>
            <w:r>
              <w:rPr>
                <w:rFonts w:eastAsia="Calibri"/>
                <w:lang w:val="en-US"/>
              </w:rPr>
              <w:t xml:space="preserve"> </w:t>
            </w:r>
            <w:r w:rsidRPr="00770789">
              <w:rPr>
                <w:rFonts w:eastAsia="Calibri"/>
                <w:lang w:val="en-US"/>
              </w:rPr>
              <w:t>This duplication meant that last year’s publication overreported the underlying articulating population. The total number of entrants articulating via Advance Standing in 2021-22 has been revised down by -17% from 4,705 to 3,895 for this release of the publication. The error was found in the 2021-22 articulation data only; it does not occur in the 2022-23 data or for any earlier academic years.</w:t>
            </w:r>
            <w:r>
              <w:rPr>
                <w:rFonts w:eastAsia="Calibri"/>
                <w:lang w:val="en-US"/>
              </w:rPr>
              <w:t xml:space="preserve"> Articulation data is found in Background Tables 14a-14d.</w:t>
            </w:r>
          </w:p>
          <w:p w14:paraId="6AB04B40" w14:textId="208BB12D" w:rsidR="00CB31A8" w:rsidRDefault="00CB31A8" w:rsidP="00C538C3">
            <w:pPr>
              <w:rPr>
                <w:rFonts w:eastAsia="Calibri"/>
                <w:lang w:val="en-US"/>
              </w:rPr>
            </w:pPr>
            <w:r w:rsidRPr="00092BCA">
              <w:rPr>
                <w:rFonts w:eastAsia="Calibri"/>
                <w:lang w:val="en-US"/>
              </w:rPr>
              <w:t>The number of full-time first degree Care Experienced (CE) entrants has been revised from 485 to 510</w:t>
            </w:r>
            <w:r w:rsidR="007A57FB">
              <w:rPr>
                <w:rFonts w:eastAsia="Calibri"/>
                <w:lang w:val="en-US"/>
              </w:rPr>
              <w:t xml:space="preserve"> for 2020-21</w:t>
            </w:r>
            <w:r w:rsidRPr="00092BCA">
              <w:rPr>
                <w:rFonts w:eastAsia="Calibri"/>
                <w:lang w:val="en-US"/>
              </w:rPr>
              <w:t xml:space="preserve">, and has been revised from 1,685 to 1,715 for the all </w:t>
            </w:r>
            <w:r w:rsidRPr="00092BCA">
              <w:rPr>
                <w:rFonts w:eastAsia="Calibri"/>
                <w:lang w:val="en-US"/>
              </w:rPr>
              <w:lastRenderedPageBreak/>
              <w:t>undergraduate HE population. This is because some entrants at University of Edinburgh were not flagged as CE initially. The % figures have been recalculated, but the percentages are unchanged when rounded to one decimal place. This affects Table 1 in this publication. It also affects COWA Table 1, Background Tables 1 and Background Table 2.</w:t>
            </w:r>
          </w:p>
          <w:p w14:paraId="01AED347" w14:textId="0E06913F" w:rsidR="00A638C3" w:rsidRPr="00092BCA" w:rsidRDefault="007A57FB" w:rsidP="00C538C3">
            <w:pPr>
              <w:rPr>
                <w:rFonts w:eastAsia="Calibri"/>
                <w:lang w:val="en-US"/>
              </w:rPr>
            </w:pPr>
            <w:r>
              <w:rPr>
                <w:rFonts w:eastAsia="Calibri"/>
                <w:lang w:val="en-US"/>
              </w:rPr>
              <w:t xml:space="preserve">In </w:t>
            </w:r>
            <w:r w:rsidR="00A638C3">
              <w:rPr>
                <w:rFonts w:eastAsia="Calibri"/>
                <w:lang w:val="en-US"/>
              </w:rPr>
              <w:t>Background Table 2,</w:t>
            </w:r>
            <w:r w:rsidR="005B3C81">
              <w:t xml:space="preserve"> </w:t>
            </w:r>
            <w:r w:rsidR="005B3C81">
              <w:rPr>
                <w:rFonts w:eastAsia="Calibri"/>
                <w:lang w:val="en-US"/>
              </w:rPr>
              <w:t>t</w:t>
            </w:r>
            <w:r w:rsidR="005B3C81" w:rsidRPr="005B3C81">
              <w:rPr>
                <w:rFonts w:eastAsia="Calibri"/>
                <w:lang w:val="en-US"/>
              </w:rPr>
              <w:t xml:space="preserve">he FTFD 2021-22 figures for Over 21 have been corrected as this was showing the incorrect population in error. </w:t>
            </w:r>
            <w:r w:rsidR="005B3C81">
              <w:rPr>
                <w:rFonts w:eastAsia="Calibri"/>
                <w:lang w:val="en-US"/>
              </w:rPr>
              <w:t xml:space="preserve">The </w:t>
            </w:r>
            <w:r w:rsidR="005B3C81" w:rsidRPr="005B3C81">
              <w:rPr>
                <w:rFonts w:eastAsia="Calibri"/>
                <w:lang w:val="en-US"/>
              </w:rPr>
              <w:t>count and percent</w:t>
            </w:r>
            <w:r w:rsidR="005B3C81">
              <w:rPr>
                <w:rFonts w:eastAsia="Calibri"/>
                <w:lang w:val="en-US"/>
              </w:rPr>
              <w:t xml:space="preserve"> have both been corrected</w:t>
            </w:r>
            <w:r w:rsidR="005B3C81" w:rsidRPr="005B3C81">
              <w:rPr>
                <w:rFonts w:eastAsia="Calibri"/>
                <w:lang w:val="en-US"/>
              </w:rPr>
              <w:t>.</w:t>
            </w:r>
          </w:p>
          <w:p w14:paraId="2DC06F3A" w14:textId="5DA3691E" w:rsidR="00CB31A8" w:rsidRPr="00092BCA" w:rsidRDefault="00CB31A8" w:rsidP="00C538C3">
            <w:pPr>
              <w:rPr>
                <w:rFonts w:eastAsia="Calibri"/>
                <w:lang w:val="en-US"/>
              </w:rPr>
            </w:pPr>
            <w:r w:rsidRPr="00092BCA">
              <w:rPr>
                <w:rFonts w:eastAsia="Calibri"/>
                <w:lang w:val="en-US"/>
              </w:rPr>
              <w:t>Background Table 17, showing Scottish-domiciled college enrolments on courses 160+ hours in duration, has been revised for years prior to 2022-23 as a very small number of enrolments were included where they did not meet the qualifying date for funding (less than 5 in 2021-22).</w:t>
            </w:r>
          </w:p>
          <w:p w14:paraId="729D4FEB" w14:textId="610486BA" w:rsidR="00CB31A8" w:rsidRPr="00092BCA" w:rsidRDefault="00CB31A8" w:rsidP="00C538C3">
            <w:pPr>
              <w:rPr>
                <w:rFonts w:eastAsia="Calibri"/>
                <w:lang w:val="en-US"/>
              </w:rPr>
            </w:pPr>
            <w:r w:rsidRPr="00092BCA">
              <w:rPr>
                <w:rFonts w:eastAsia="Calibri"/>
                <w:lang w:val="en-US"/>
              </w:rPr>
              <w:t>In Background Table 13, data showing College Leaver Destinations has been revised for 2018-19 to 2020-21 to filter to Scottish domiciles, thereby aligning it with previous years.</w:t>
            </w:r>
          </w:p>
          <w:p w14:paraId="347BE89A" w14:textId="05B17DD1" w:rsidR="00CB31A8" w:rsidRPr="00092BCA" w:rsidRDefault="00CB31A8" w:rsidP="00C538C3">
            <w:pPr>
              <w:rPr>
                <w:rFonts w:eastAsia="Calibri"/>
                <w:lang w:val="en-US"/>
              </w:rPr>
            </w:pPr>
            <w:r w:rsidRPr="00092BCA">
              <w:rPr>
                <w:rFonts w:eastAsia="Calibri"/>
                <w:lang w:val="en-US"/>
              </w:rPr>
              <w:t>Background Table 15, showing Scottish-domiciled FTFD qualifiers from university by characteristic, have had the number and proportion for White ethnicity revised upwards for 2020-21 and 2021-22, following a miscategorisation of the ‘White - Other British’ group. Other ethnicity groups are not affected.</w:t>
            </w:r>
          </w:p>
          <w:p w14:paraId="102E7D47" w14:textId="05347227" w:rsidR="00CB31A8" w:rsidRPr="00092BCA" w:rsidRDefault="00CB31A8" w:rsidP="00C538C3">
            <w:pPr>
              <w:rPr>
                <w:rFonts w:eastAsia="Calibri"/>
                <w:lang w:val="en-US"/>
              </w:rPr>
            </w:pPr>
            <w:r w:rsidRPr="00092BCA">
              <w:rPr>
                <w:rFonts w:eastAsia="Calibri"/>
                <w:lang w:val="en-US"/>
              </w:rPr>
              <w:t>Background Table 18, showing Graduate Outcomes for Scottish-domiciled full-time first degree students, have been revised for the White ethnicity grouping for 2020-21. Other ethnicity groups are not affected.</w:t>
            </w:r>
          </w:p>
          <w:p w14:paraId="345BBC32" w14:textId="480BF0A0" w:rsidR="00CB31A8" w:rsidRPr="00092BCA" w:rsidRDefault="00CB31A8" w:rsidP="00C538C3">
            <w:pPr>
              <w:rPr>
                <w:rFonts w:eastAsia="Calibri"/>
                <w:lang w:val="en-US"/>
              </w:rPr>
            </w:pPr>
            <w:r w:rsidRPr="00092BCA">
              <w:rPr>
                <w:rFonts w:eastAsia="Calibri"/>
                <w:lang w:val="en-US"/>
              </w:rPr>
              <w:t>In Figure 1b showing SIMD20 entrants to full-time courses, the 2021-22 figure for college full-time HE has been revised from 27.3% to 27.8% following a recalculation. The 2021-22 figure for tertiary sector full-time HE has been revised from 20.3% to 20.4%.</w:t>
            </w:r>
          </w:p>
        </w:tc>
      </w:tr>
      <w:tr w:rsidR="00CB31A8" w:rsidRPr="00092BCA" w14:paraId="670CA87B" w14:textId="77777777" w:rsidTr="00C538C3">
        <w:trPr>
          <w:trHeight w:val="1077"/>
        </w:trPr>
        <w:tc>
          <w:tcPr>
            <w:tcW w:w="2747" w:type="dxa"/>
            <w:shd w:val="clear" w:color="auto" w:fill="auto"/>
            <w:vAlign w:val="center"/>
          </w:tcPr>
          <w:p w14:paraId="0DD8489F" w14:textId="77777777" w:rsidR="00CB31A8" w:rsidRPr="00092BCA" w:rsidRDefault="00CB31A8" w:rsidP="00C538C3">
            <w:pPr>
              <w:rPr>
                <w:rFonts w:eastAsia="Calibri" w:cstheme="minorHAnsi"/>
                <w:lang w:val="en-US"/>
              </w:rPr>
            </w:pPr>
            <w:r w:rsidRPr="00092BCA">
              <w:rPr>
                <w:rFonts w:eastAsia="Calibri" w:cstheme="minorHAnsi"/>
                <w:lang w:val="en-US"/>
              </w:rPr>
              <w:lastRenderedPageBreak/>
              <w:t xml:space="preserve">Revisions relevant to this </w:t>
            </w:r>
          </w:p>
          <w:p w14:paraId="3D66A4D3" w14:textId="77777777" w:rsidR="00CB31A8" w:rsidRPr="00092BCA" w:rsidRDefault="00CB31A8" w:rsidP="00C538C3">
            <w:pPr>
              <w:rPr>
                <w:rFonts w:eastAsia="Calibri" w:cstheme="minorHAnsi"/>
                <w:lang w:val="en-US"/>
              </w:rPr>
            </w:pPr>
            <w:r w:rsidRPr="00092BCA">
              <w:rPr>
                <w:rFonts w:eastAsia="Calibri" w:cstheme="minorHAnsi"/>
                <w:lang w:val="en-US"/>
              </w:rPr>
              <w:t>publication</w:t>
            </w:r>
          </w:p>
        </w:tc>
        <w:tc>
          <w:tcPr>
            <w:tcW w:w="6328" w:type="dxa"/>
            <w:shd w:val="clear" w:color="auto" w:fill="auto"/>
            <w:vAlign w:val="center"/>
          </w:tcPr>
          <w:p w14:paraId="4DD828B5" w14:textId="77777777" w:rsidR="00B01F7C" w:rsidRDefault="00B01F7C" w:rsidP="00B01F7C">
            <w:pPr>
              <w:rPr>
                <w:rFonts w:eastAsia="Calibri"/>
                <w:lang w:val="en-US"/>
              </w:rPr>
            </w:pPr>
            <w:r>
              <w:rPr>
                <w:rFonts w:eastAsia="Calibri"/>
                <w:lang w:val="en-US"/>
              </w:rPr>
              <w:t>In COWA Table 1a, t</w:t>
            </w:r>
            <w:r w:rsidRPr="007A57FB">
              <w:rPr>
                <w:rFonts w:eastAsia="Calibri"/>
                <w:lang w:val="en-US"/>
              </w:rPr>
              <w:t>he % MD20 for colleges in 2021-22 has been revised for multiple colleges following a miscalculation in last year's publication whereby SIMD quintile unknown were mistakenly included in the % calculation. This also affects the</w:t>
            </w:r>
            <w:r>
              <w:rPr>
                <w:rFonts w:eastAsia="Calibri"/>
                <w:lang w:val="en-US"/>
              </w:rPr>
              <w:t xml:space="preserve"> sector’s</w:t>
            </w:r>
            <w:r w:rsidRPr="007A57FB">
              <w:rPr>
                <w:rFonts w:eastAsia="Calibri"/>
                <w:lang w:val="en-US"/>
              </w:rPr>
              <w:t xml:space="preserve"> Total HE at FEIs figure for % MD20, revised from 24.2% to 24.3%.</w:t>
            </w:r>
          </w:p>
          <w:p w14:paraId="28833D6C" w14:textId="74573075" w:rsidR="00B01F7C" w:rsidRDefault="00B01F7C" w:rsidP="00C538C3">
            <w:pPr>
              <w:rPr>
                <w:rFonts w:eastAsia="Calibri"/>
                <w:lang w:val="en-US"/>
              </w:rPr>
            </w:pPr>
            <w:r w:rsidRPr="00770789">
              <w:rPr>
                <w:rFonts w:eastAsia="Calibri"/>
                <w:lang w:val="en-US"/>
              </w:rPr>
              <w:t>SFC took the decision to re-run articulation analysis for 2021-22 after it was discovered that some entrant records had also been reported in previous years.</w:t>
            </w:r>
            <w:r>
              <w:rPr>
                <w:rFonts w:eastAsia="Calibri"/>
                <w:lang w:val="en-US"/>
              </w:rPr>
              <w:t xml:space="preserve"> </w:t>
            </w:r>
            <w:r w:rsidRPr="00770789">
              <w:rPr>
                <w:rFonts w:eastAsia="Calibri"/>
                <w:lang w:val="en-US"/>
              </w:rPr>
              <w:t>This duplication meant that last year’s publication overreported the underlying articulating population. The total number of entrants articulating via Advance Standing in 2021-22 has been revised down by -17% from 4,705 to 3,895 for this release of the publication. The error was found in the 2021-22 articulation data only; it does not occur in the 2022-23 data or for any earlier academic years.</w:t>
            </w:r>
            <w:r>
              <w:rPr>
                <w:rFonts w:eastAsia="Calibri"/>
                <w:lang w:val="en-US"/>
              </w:rPr>
              <w:t xml:space="preserve"> Articulation data is found in Background Tables 14a-14d.</w:t>
            </w:r>
          </w:p>
          <w:p w14:paraId="6A1BADF7" w14:textId="389ADFAA" w:rsidR="00CB31A8" w:rsidRPr="00092BCA" w:rsidRDefault="00CB31A8" w:rsidP="00C538C3">
            <w:pPr>
              <w:rPr>
                <w:rFonts w:eastAsia="Calibri"/>
                <w:lang w:val="en-US"/>
              </w:rPr>
            </w:pPr>
            <w:r w:rsidRPr="00092BCA">
              <w:rPr>
                <w:rFonts w:eastAsia="Calibri"/>
                <w:lang w:val="en-US"/>
              </w:rPr>
              <w:t>The number of full-time first degree care experienced (CE) entrants has been revised from 485 to 510</w:t>
            </w:r>
            <w:r w:rsidR="007A57FB">
              <w:rPr>
                <w:rFonts w:eastAsia="Calibri"/>
                <w:lang w:val="en-US"/>
              </w:rPr>
              <w:t xml:space="preserve"> for 2020-21</w:t>
            </w:r>
            <w:r w:rsidRPr="00092BCA">
              <w:rPr>
                <w:rFonts w:eastAsia="Calibri"/>
                <w:lang w:val="en-US"/>
              </w:rPr>
              <w:t>, and has been revised from 1,685 to 1,715 for the all undergraduate HE population. This is because some entrants at University of Edinburgh were not flagged as CE initially. The % figures have been recalculated, but the percentages are unchanged when rounded to one decimal place. This affects Table 1 in this publication. It also affects COWA Table 1, Background Table 1 and Background Table 2.</w:t>
            </w:r>
          </w:p>
          <w:p w14:paraId="3675FA36" w14:textId="478908DD" w:rsidR="00CB31A8" w:rsidRPr="00092BCA" w:rsidRDefault="00CB31A8" w:rsidP="00C538C3">
            <w:pPr>
              <w:rPr>
                <w:rFonts w:eastAsia="Calibri"/>
                <w:lang w:val="en-US"/>
              </w:rPr>
            </w:pPr>
            <w:r w:rsidRPr="00092BCA">
              <w:rPr>
                <w:rFonts w:eastAsia="Calibri"/>
                <w:lang w:val="en-US"/>
              </w:rPr>
              <w:t>In Figure 1b, showing SIMD20 entrants to full-time courses, the 2021-22 figure for college full-time HE has been revised from 27.3% to 27.8% following a recalculation. The 2021-22 figure for tertiary sector full-time HE has been revised from 20.3% to 20.4%.</w:t>
            </w:r>
          </w:p>
        </w:tc>
      </w:tr>
      <w:tr w:rsidR="00CB31A8" w:rsidRPr="00092BCA" w14:paraId="443EABF7" w14:textId="77777777" w:rsidTr="00C538C3">
        <w:trPr>
          <w:trHeight w:val="1474"/>
        </w:trPr>
        <w:tc>
          <w:tcPr>
            <w:tcW w:w="2747" w:type="dxa"/>
            <w:shd w:val="clear" w:color="auto" w:fill="EDF8F9"/>
            <w:vAlign w:val="center"/>
          </w:tcPr>
          <w:p w14:paraId="6BA85FBB" w14:textId="77777777" w:rsidR="00CB31A8" w:rsidRPr="00092BCA" w:rsidRDefault="00CB31A8" w:rsidP="00C538C3">
            <w:pPr>
              <w:rPr>
                <w:rFonts w:cstheme="minorHAnsi"/>
              </w:rPr>
            </w:pPr>
            <w:r w:rsidRPr="00092BCA">
              <w:rPr>
                <w:rFonts w:eastAsia="Calibri" w:cstheme="minorHAnsi"/>
                <w:lang w:val="en-US"/>
              </w:rPr>
              <w:t xml:space="preserve">Relevance and key uses of these statistics </w:t>
            </w:r>
          </w:p>
        </w:tc>
        <w:tc>
          <w:tcPr>
            <w:tcW w:w="6328" w:type="dxa"/>
            <w:shd w:val="clear" w:color="auto" w:fill="EDF8F9"/>
            <w:vAlign w:val="center"/>
          </w:tcPr>
          <w:p w14:paraId="356D7C19" w14:textId="77777777" w:rsidR="00CB31A8" w:rsidRPr="00092BCA" w:rsidRDefault="00CB31A8" w:rsidP="00C538C3">
            <w:pPr>
              <w:rPr>
                <w:rFonts w:eastAsia="Calibri"/>
                <w:lang w:val="en-US"/>
              </w:rPr>
            </w:pPr>
            <w:r w:rsidRPr="00092BCA">
              <w:rPr>
                <w:rFonts w:eastAsia="Calibri" w:cstheme="minorHAnsi"/>
                <w:lang w:val="en-US"/>
              </w:rPr>
              <w:t xml:space="preserve">HESA – which merged with Jisc in October 2022 – is the official UK agency for the collection, analysis and dissemination of quantitative information about higher education at higher education institutions. SFC collects data on provision at colleges in Scotland through the Further Education Statistics (FES) data collection. </w:t>
            </w:r>
          </w:p>
        </w:tc>
      </w:tr>
      <w:tr w:rsidR="00CB31A8" w:rsidRPr="00092BCA" w14:paraId="50C84745" w14:textId="77777777" w:rsidTr="00092BCA">
        <w:trPr>
          <w:trHeight w:val="1120"/>
        </w:trPr>
        <w:tc>
          <w:tcPr>
            <w:tcW w:w="2747" w:type="dxa"/>
            <w:shd w:val="clear" w:color="auto" w:fill="auto"/>
            <w:vAlign w:val="center"/>
          </w:tcPr>
          <w:p w14:paraId="3357F740" w14:textId="77777777" w:rsidR="00CB31A8" w:rsidRPr="00092BCA" w:rsidRDefault="00CB31A8" w:rsidP="00C538C3">
            <w:pPr>
              <w:rPr>
                <w:rFonts w:cstheme="minorHAnsi"/>
              </w:rPr>
            </w:pPr>
            <w:r w:rsidRPr="00092BCA">
              <w:rPr>
                <w:rFonts w:eastAsia="Calibri" w:cstheme="minorHAnsi"/>
                <w:lang w:val="en-US"/>
              </w:rPr>
              <w:lastRenderedPageBreak/>
              <w:t>Accuracy</w:t>
            </w:r>
          </w:p>
        </w:tc>
        <w:tc>
          <w:tcPr>
            <w:tcW w:w="6328" w:type="dxa"/>
            <w:shd w:val="clear" w:color="auto" w:fill="auto"/>
            <w:vAlign w:val="center"/>
          </w:tcPr>
          <w:p w14:paraId="50B527E4" w14:textId="77777777" w:rsidR="00CB31A8" w:rsidRPr="00092BCA" w:rsidRDefault="00CB31A8" w:rsidP="00C538C3">
            <w:pPr>
              <w:rPr>
                <w:rFonts w:cstheme="minorHAnsi"/>
              </w:rPr>
            </w:pPr>
            <w:r w:rsidRPr="00092BCA">
              <w:rPr>
                <w:rFonts w:eastAsia="Calibri" w:cstheme="minorHAnsi"/>
                <w:lang w:val="en-US"/>
              </w:rPr>
              <w:t xml:space="preserve">The procedures followed by HESA to ensure quality of the data are provided on the HESA website. The guidance issued by SFC for the submission of the Scottish college records is on the SFC website. </w:t>
            </w:r>
          </w:p>
        </w:tc>
      </w:tr>
      <w:tr w:rsidR="00CB31A8" w:rsidRPr="00092BCA" w14:paraId="2C2B71D0" w14:textId="77777777" w:rsidTr="00C538C3">
        <w:trPr>
          <w:trHeight w:val="1304"/>
        </w:trPr>
        <w:tc>
          <w:tcPr>
            <w:tcW w:w="2747" w:type="dxa"/>
            <w:shd w:val="clear" w:color="auto" w:fill="EDF8F9"/>
            <w:vAlign w:val="center"/>
          </w:tcPr>
          <w:p w14:paraId="2E62FC0F" w14:textId="77777777" w:rsidR="00CB31A8" w:rsidRPr="00092BCA" w:rsidRDefault="00CB31A8" w:rsidP="00C538C3">
            <w:pPr>
              <w:rPr>
                <w:rFonts w:cstheme="minorHAnsi"/>
              </w:rPr>
            </w:pPr>
            <w:r w:rsidRPr="00092BCA">
              <w:rPr>
                <w:rFonts w:eastAsia="Calibri" w:cstheme="minorHAnsi"/>
                <w:lang w:val="en-US"/>
              </w:rPr>
              <w:t xml:space="preserve">Comparability </w:t>
            </w:r>
          </w:p>
        </w:tc>
        <w:tc>
          <w:tcPr>
            <w:tcW w:w="6328" w:type="dxa"/>
            <w:shd w:val="clear" w:color="auto" w:fill="EDF8F9"/>
            <w:vAlign w:val="center"/>
          </w:tcPr>
          <w:p w14:paraId="266C84B2" w14:textId="77777777" w:rsidR="00CB31A8" w:rsidRPr="00092BCA" w:rsidRDefault="00CB31A8" w:rsidP="00C538C3">
            <w:pPr>
              <w:rPr>
                <w:rFonts w:cstheme="minorHAnsi"/>
              </w:rPr>
            </w:pPr>
            <w:r w:rsidRPr="00092BCA">
              <w:rPr>
                <w:rFonts w:eastAsia="Calibri" w:cstheme="minorHAnsi"/>
                <w:lang w:val="en-US"/>
              </w:rPr>
              <w:t xml:space="preserve">HESA collects student enrolment data from all publicly funded UK HEIs, so comparison with other countries within the UK is possible. The </w:t>
            </w:r>
            <w:r w:rsidRPr="00092BCA">
              <w:rPr>
                <w:rStyle w:val="Hyperlink"/>
                <w:rFonts w:eastAsia="Calibri"/>
                <w:sz w:val="22"/>
              </w:rPr>
              <w:t xml:space="preserve">Statistical Release </w:t>
            </w:r>
            <w:hyperlink r:id="rId35">
              <w:r w:rsidRPr="00092BCA">
                <w:rPr>
                  <w:rStyle w:val="Hyperlink"/>
                  <w:rFonts w:eastAsia="Calibri" w:cstheme="minorHAnsi"/>
                  <w:sz w:val="22"/>
                  <w:lang w:val="en-US"/>
                </w:rPr>
                <w:t>Higher Education Student Data</w:t>
              </w:r>
            </w:hyperlink>
            <w:r w:rsidRPr="00092BCA">
              <w:rPr>
                <w:rFonts w:eastAsia="Calibri"/>
              </w:rPr>
              <w:t xml:space="preserve"> </w:t>
            </w:r>
            <w:r w:rsidRPr="00092BCA">
              <w:rPr>
                <w:rFonts w:eastAsia="Calibri" w:cstheme="minorHAnsi"/>
                <w:lang w:val="en-US"/>
              </w:rPr>
              <w:t>provides information on this topic although not all tables in this report are directly comparable, due to differences in student populations used.</w:t>
            </w:r>
          </w:p>
        </w:tc>
      </w:tr>
      <w:tr w:rsidR="00CB31A8" w:rsidRPr="00092BCA" w14:paraId="307A109A" w14:textId="77777777" w:rsidTr="00092BCA">
        <w:trPr>
          <w:trHeight w:val="1284"/>
        </w:trPr>
        <w:tc>
          <w:tcPr>
            <w:tcW w:w="2747" w:type="dxa"/>
            <w:shd w:val="clear" w:color="auto" w:fill="auto"/>
            <w:vAlign w:val="center"/>
          </w:tcPr>
          <w:p w14:paraId="19BA078A" w14:textId="77777777" w:rsidR="00CB31A8" w:rsidRPr="00092BCA" w:rsidRDefault="00CB31A8" w:rsidP="00C538C3">
            <w:pPr>
              <w:rPr>
                <w:rFonts w:cstheme="minorHAnsi"/>
              </w:rPr>
            </w:pPr>
            <w:r w:rsidRPr="00092BCA">
              <w:rPr>
                <w:rFonts w:eastAsia="Calibri" w:cstheme="minorHAnsi"/>
                <w:lang w:val="en-US"/>
              </w:rPr>
              <w:t>Accessibility</w:t>
            </w:r>
          </w:p>
        </w:tc>
        <w:tc>
          <w:tcPr>
            <w:tcW w:w="6328" w:type="dxa"/>
            <w:shd w:val="clear" w:color="auto" w:fill="auto"/>
            <w:vAlign w:val="center"/>
          </w:tcPr>
          <w:p w14:paraId="10BFFDD8" w14:textId="77777777" w:rsidR="00CB31A8" w:rsidRPr="00092BCA" w:rsidRDefault="00CB31A8" w:rsidP="00C538C3">
            <w:pPr>
              <w:rPr>
                <w:rFonts w:cstheme="minorHAnsi"/>
              </w:rPr>
            </w:pPr>
            <w:r w:rsidRPr="00092BCA">
              <w:rPr>
                <w:rFonts w:eastAsia="Calibri" w:cstheme="minorHAnsi"/>
                <w:lang w:val="en-US"/>
              </w:rPr>
              <w:t xml:space="preserve">SFC has a style guideline which sets out options to make all publications as accessible to potential readers as possible. More information relating to </w:t>
            </w:r>
            <w:hyperlink r:id="rId36">
              <w:r w:rsidRPr="00092BCA">
                <w:rPr>
                  <w:rStyle w:val="Hyperlink"/>
                  <w:rFonts w:eastAsia="Calibri" w:cstheme="minorHAnsi"/>
                  <w:sz w:val="22"/>
                  <w:lang w:val="en-US"/>
                </w:rPr>
                <w:t>accessibility of the website</w:t>
              </w:r>
            </w:hyperlink>
            <w:r w:rsidRPr="00092BCA">
              <w:rPr>
                <w:rFonts w:eastAsia="Calibri" w:cstheme="minorHAnsi"/>
                <w:color w:val="7030A0"/>
                <w:u w:val="single"/>
                <w:lang w:val="en-US"/>
              </w:rPr>
              <w:t>.</w:t>
            </w:r>
          </w:p>
        </w:tc>
      </w:tr>
      <w:tr w:rsidR="00CB31A8" w:rsidRPr="00092BCA" w14:paraId="7B38BCEC" w14:textId="77777777" w:rsidTr="00C538C3">
        <w:trPr>
          <w:trHeight w:val="1077"/>
        </w:trPr>
        <w:tc>
          <w:tcPr>
            <w:tcW w:w="2747" w:type="dxa"/>
            <w:shd w:val="clear" w:color="auto" w:fill="EDF8F9"/>
            <w:vAlign w:val="center"/>
          </w:tcPr>
          <w:p w14:paraId="55DBA236" w14:textId="77777777" w:rsidR="00CB31A8" w:rsidRPr="00092BCA" w:rsidRDefault="00CB31A8" w:rsidP="00C538C3">
            <w:pPr>
              <w:rPr>
                <w:rFonts w:cstheme="minorHAnsi"/>
              </w:rPr>
            </w:pPr>
            <w:r w:rsidRPr="00092BCA">
              <w:rPr>
                <w:rFonts w:eastAsia="Calibri" w:cstheme="minorHAnsi"/>
                <w:lang w:val="en-US"/>
              </w:rPr>
              <w:t xml:space="preserve">Coherence and clarity </w:t>
            </w:r>
          </w:p>
        </w:tc>
        <w:tc>
          <w:tcPr>
            <w:tcW w:w="6328" w:type="dxa"/>
            <w:shd w:val="clear" w:color="auto" w:fill="EDF8F9"/>
            <w:vAlign w:val="center"/>
          </w:tcPr>
          <w:p w14:paraId="65EAC948" w14:textId="77777777" w:rsidR="00CB31A8" w:rsidRPr="00092BCA" w:rsidRDefault="00CB31A8" w:rsidP="00C538C3">
            <w:pPr>
              <w:rPr>
                <w:rFonts w:cstheme="minorHAnsi"/>
              </w:rPr>
            </w:pPr>
            <w:r w:rsidRPr="00092BCA">
              <w:rPr>
                <w:rFonts w:eastAsia="Calibri" w:cstheme="minorHAnsi"/>
                <w:lang w:val="en-US"/>
              </w:rPr>
              <w:t>This statistical publication is pre-announced and then published on the SFC website. It is accompanied by more detailed tables available in Excel format on the website only which is a freely available resource.</w:t>
            </w:r>
          </w:p>
        </w:tc>
      </w:tr>
      <w:tr w:rsidR="00CB31A8" w:rsidRPr="00092BCA" w14:paraId="2DC81685" w14:textId="77777777" w:rsidTr="00092BCA">
        <w:trPr>
          <w:trHeight w:val="996"/>
        </w:trPr>
        <w:tc>
          <w:tcPr>
            <w:tcW w:w="2747" w:type="dxa"/>
            <w:shd w:val="clear" w:color="auto" w:fill="auto"/>
            <w:vAlign w:val="center"/>
          </w:tcPr>
          <w:p w14:paraId="4AB4ADE8" w14:textId="77777777" w:rsidR="00CB31A8" w:rsidRPr="00092BCA" w:rsidRDefault="00CB31A8" w:rsidP="00C538C3">
            <w:pPr>
              <w:rPr>
                <w:rFonts w:cstheme="minorHAnsi"/>
              </w:rPr>
            </w:pPr>
            <w:r w:rsidRPr="00092BCA">
              <w:rPr>
                <w:rFonts w:eastAsia="Calibri" w:cstheme="minorHAnsi"/>
                <w:lang w:val="en-US"/>
              </w:rPr>
              <w:t xml:space="preserve">Value type and unity of measurement </w:t>
            </w:r>
          </w:p>
        </w:tc>
        <w:tc>
          <w:tcPr>
            <w:tcW w:w="6328" w:type="dxa"/>
            <w:shd w:val="clear" w:color="auto" w:fill="auto"/>
            <w:vAlign w:val="center"/>
          </w:tcPr>
          <w:p w14:paraId="10808702" w14:textId="77777777" w:rsidR="00CB31A8" w:rsidRPr="00092BCA" w:rsidRDefault="00CB31A8" w:rsidP="00C538C3">
            <w:pPr>
              <w:rPr>
                <w:rFonts w:cstheme="minorHAnsi"/>
              </w:rPr>
            </w:pPr>
            <w:r w:rsidRPr="00092BCA">
              <w:rPr>
                <w:rFonts w:eastAsia="Calibri" w:cstheme="minorHAnsi"/>
                <w:lang w:val="en-US"/>
              </w:rPr>
              <w:t>Number, percentage, percentage points.</w:t>
            </w:r>
          </w:p>
        </w:tc>
      </w:tr>
      <w:tr w:rsidR="00CB31A8" w:rsidRPr="00092BCA" w14:paraId="21B5623C" w14:textId="77777777" w:rsidTr="00C538C3">
        <w:trPr>
          <w:trHeight w:val="680"/>
        </w:trPr>
        <w:tc>
          <w:tcPr>
            <w:tcW w:w="2747" w:type="dxa"/>
            <w:shd w:val="clear" w:color="auto" w:fill="EDF8F9"/>
            <w:vAlign w:val="center"/>
          </w:tcPr>
          <w:p w14:paraId="7014A808" w14:textId="77777777" w:rsidR="00CB31A8" w:rsidRPr="00092BCA" w:rsidRDefault="00CB31A8" w:rsidP="00C538C3">
            <w:pPr>
              <w:rPr>
                <w:rFonts w:cstheme="minorHAnsi"/>
              </w:rPr>
            </w:pPr>
            <w:r w:rsidRPr="00092BCA">
              <w:rPr>
                <w:rFonts w:eastAsia="Calibri" w:cstheme="minorHAnsi"/>
                <w:lang w:val="en-US"/>
              </w:rPr>
              <w:t>Disclosure</w:t>
            </w:r>
          </w:p>
        </w:tc>
        <w:tc>
          <w:tcPr>
            <w:tcW w:w="6328" w:type="dxa"/>
            <w:shd w:val="clear" w:color="auto" w:fill="EDF8F9"/>
            <w:vAlign w:val="center"/>
          </w:tcPr>
          <w:p w14:paraId="637F3231" w14:textId="3B860C92" w:rsidR="00CB31A8" w:rsidRPr="00092BCA" w:rsidRDefault="00CB31A8" w:rsidP="00C538C3">
            <w:pPr>
              <w:rPr>
                <w:rFonts w:cstheme="minorHAnsi"/>
              </w:rPr>
            </w:pPr>
            <w:r w:rsidRPr="00092BCA">
              <w:rPr>
                <w:rFonts w:eastAsia="Calibri" w:cstheme="minorHAnsi"/>
                <w:lang w:val="en-US"/>
              </w:rPr>
              <w:t xml:space="preserve">In all tables in this release, figures have been rounded to the nearest 5, and 0, 1 and 2 have been rounded to 0. Figures may not sum to totals due to rounding and the inclusion of unknown values. Figures and percentages in the text and charts are calculated from rounded values. This is to mitigate the risk of identification of individuals. </w:t>
            </w:r>
          </w:p>
        </w:tc>
      </w:tr>
      <w:tr w:rsidR="00CB31A8" w:rsidRPr="00092BCA" w14:paraId="08B7B7A7" w14:textId="77777777" w:rsidTr="00092BCA">
        <w:trPr>
          <w:trHeight w:val="1046"/>
        </w:trPr>
        <w:tc>
          <w:tcPr>
            <w:tcW w:w="2747" w:type="dxa"/>
            <w:shd w:val="clear" w:color="auto" w:fill="auto"/>
            <w:vAlign w:val="center"/>
          </w:tcPr>
          <w:p w14:paraId="468668DF" w14:textId="77777777" w:rsidR="00CB31A8" w:rsidRPr="00092BCA" w:rsidRDefault="00CB31A8" w:rsidP="00C538C3">
            <w:pPr>
              <w:rPr>
                <w:rFonts w:cstheme="minorHAnsi"/>
              </w:rPr>
            </w:pPr>
            <w:r w:rsidRPr="00092BCA">
              <w:rPr>
                <w:rFonts w:eastAsia="Calibri" w:cstheme="minorHAnsi"/>
                <w:lang w:val="en-US"/>
              </w:rPr>
              <w:t xml:space="preserve">Official Statistics designation </w:t>
            </w:r>
          </w:p>
        </w:tc>
        <w:tc>
          <w:tcPr>
            <w:tcW w:w="6328" w:type="dxa"/>
            <w:shd w:val="clear" w:color="auto" w:fill="auto"/>
            <w:vAlign w:val="center"/>
          </w:tcPr>
          <w:p w14:paraId="2D71FB05" w14:textId="77777777" w:rsidR="00CB31A8" w:rsidRPr="00092BCA" w:rsidRDefault="00CB31A8" w:rsidP="00C538C3">
            <w:pPr>
              <w:rPr>
                <w:rFonts w:cstheme="minorHAnsi"/>
              </w:rPr>
            </w:pPr>
            <w:r w:rsidRPr="00092BCA">
              <w:rPr>
                <w:rFonts w:eastAsia="Calibri" w:cstheme="minorHAnsi"/>
                <w:lang w:val="en-US"/>
              </w:rPr>
              <w:t>Official Statistics</w:t>
            </w:r>
          </w:p>
        </w:tc>
      </w:tr>
      <w:tr w:rsidR="00CB31A8" w:rsidRPr="00092BCA" w14:paraId="6C5448DA" w14:textId="77777777" w:rsidTr="00C538C3">
        <w:trPr>
          <w:trHeight w:val="680"/>
        </w:trPr>
        <w:tc>
          <w:tcPr>
            <w:tcW w:w="2747" w:type="dxa"/>
            <w:shd w:val="clear" w:color="auto" w:fill="EDF8F9"/>
            <w:vAlign w:val="center"/>
          </w:tcPr>
          <w:p w14:paraId="0B0D2410" w14:textId="77777777" w:rsidR="00CB31A8" w:rsidRPr="00092BCA" w:rsidRDefault="00CB31A8" w:rsidP="00C538C3">
            <w:pPr>
              <w:rPr>
                <w:rFonts w:cstheme="minorHAnsi"/>
              </w:rPr>
            </w:pPr>
            <w:r w:rsidRPr="00092BCA">
              <w:rPr>
                <w:rFonts w:eastAsia="Calibri" w:cstheme="minorHAnsi"/>
                <w:lang w:val="en-US"/>
              </w:rPr>
              <w:t xml:space="preserve">UK Statistics Authority Assessment </w:t>
            </w:r>
          </w:p>
        </w:tc>
        <w:tc>
          <w:tcPr>
            <w:tcW w:w="6328" w:type="dxa"/>
            <w:shd w:val="clear" w:color="auto" w:fill="EDF8F9"/>
            <w:vAlign w:val="center"/>
          </w:tcPr>
          <w:p w14:paraId="122D3B9A" w14:textId="77777777" w:rsidR="00CB31A8" w:rsidRPr="00092BCA" w:rsidRDefault="00CB31A8" w:rsidP="00C538C3">
            <w:pPr>
              <w:rPr>
                <w:rFonts w:cstheme="minorHAnsi"/>
              </w:rPr>
            </w:pPr>
            <w:r w:rsidRPr="00092BCA">
              <w:rPr>
                <w:rFonts w:eastAsia="Calibri" w:cstheme="minorHAnsi"/>
                <w:lang w:val="en-US"/>
              </w:rPr>
              <w:t xml:space="preserve">This publication has not been assessed by the UK Statistics Authority. However other Scottish Funding Council publications were assessed as part of the </w:t>
            </w:r>
            <w:hyperlink r:id="rId37">
              <w:r w:rsidRPr="00092BCA">
                <w:rPr>
                  <w:rStyle w:val="Hyperlink"/>
                  <w:rFonts w:eastAsia="Calibri" w:cstheme="minorHAnsi"/>
                  <w:sz w:val="22"/>
                  <w:lang w:val="en-US"/>
                </w:rPr>
                <w:t>Assessment of compliance with the Code of Practice for Official Statistics</w:t>
              </w:r>
            </w:hyperlink>
            <w:r w:rsidRPr="00092BCA">
              <w:rPr>
                <w:rFonts w:eastAsia="Calibri" w:cstheme="minorHAnsi"/>
                <w:lang w:val="en-US"/>
              </w:rPr>
              <w:t xml:space="preserve"> undertaken in 2013 by UK Statistics Authority, as part of Assessment Report 255.</w:t>
            </w:r>
          </w:p>
        </w:tc>
      </w:tr>
      <w:tr w:rsidR="00CB31A8" w:rsidRPr="00092BCA" w14:paraId="54AFBDAA" w14:textId="77777777" w:rsidTr="00092BCA">
        <w:trPr>
          <w:trHeight w:val="746"/>
        </w:trPr>
        <w:tc>
          <w:tcPr>
            <w:tcW w:w="2747" w:type="dxa"/>
            <w:shd w:val="clear" w:color="auto" w:fill="auto"/>
            <w:vAlign w:val="center"/>
          </w:tcPr>
          <w:p w14:paraId="787BBF17" w14:textId="77777777" w:rsidR="00CB31A8" w:rsidRPr="00092BCA" w:rsidRDefault="00CB31A8" w:rsidP="00C538C3">
            <w:pPr>
              <w:rPr>
                <w:rFonts w:cstheme="minorHAnsi"/>
              </w:rPr>
            </w:pPr>
            <w:r w:rsidRPr="00092BCA">
              <w:rPr>
                <w:rFonts w:eastAsia="Calibri" w:cstheme="minorHAnsi"/>
                <w:lang w:val="en-US"/>
              </w:rPr>
              <w:lastRenderedPageBreak/>
              <w:t>Last published</w:t>
            </w:r>
          </w:p>
        </w:tc>
        <w:tc>
          <w:tcPr>
            <w:tcW w:w="6328" w:type="dxa"/>
            <w:shd w:val="clear" w:color="auto" w:fill="auto"/>
            <w:vAlign w:val="center"/>
          </w:tcPr>
          <w:p w14:paraId="3E5EC4C6" w14:textId="77777777" w:rsidR="00CB31A8" w:rsidRPr="00092BCA" w:rsidRDefault="00CB31A8" w:rsidP="00C538C3">
            <w:pPr>
              <w:rPr>
                <w:rFonts w:cstheme="minorHAnsi"/>
              </w:rPr>
            </w:pPr>
            <w:r w:rsidRPr="00092BCA">
              <w:rPr>
                <w:rFonts w:eastAsia="Calibri" w:cstheme="minorHAnsi"/>
                <w:lang w:val="en-US"/>
              </w:rPr>
              <w:t>25/07/2023</w:t>
            </w:r>
          </w:p>
        </w:tc>
      </w:tr>
      <w:tr w:rsidR="00CB31A8" w:rsidRPr="00092BCA" w14:paraId="4B9D0F11" w14:textId="77777777" w:rsidTr="00C538C3">
        <w:trPr>
          <w:trHeight w:val="510"/>
        </w:trPr>
        <w:tc>
          <w:tcPr>
            <w:tcW w:w="2747" w:type="dxa"/>
            <w:shd w:val="clear" w:color="auto" w:fill="EDF8F9"/>
            <w:vAlign w:val="center"/>
          </w:tcPr>
          <w:p w14:paraId="750C0583" w14:textId="77777777" w:rsidR="00CB31A8" w:rsidRPr="00092BCA" w:rsidRDefault="00CB31A8" w:rsidP="00C538C3">
            <w:pPr>
              <w:rPr>
                <w:rFonts w:cstheme="minorHAnsi"/>
              </w:rPr>
            </w:pPr>
            <w:r w:rsidRPr="00092BCA">
              <w:rPr>
                <w:rFonts w:eastAsia="Calibri" w:cstheme="minorHAnsi"/>
                <w:lang w:val="en-US"/>
              </w:rPr>
              <w:t xml:space="preserve">Next published </w:t>
            </w:r>
          </w:p>
        </w:tc>
        <w:tc>
          <w:tcPr>
            <w:tcW w:w="6328" w:type="dxa"/>
            <w:shd w:val="clear" w:color="auto" w:fill="EDF8F9"/>
            <w:vAlign w:val="center"/>
          </w:tcPr>
          <w:p w14:paraId="693C5BDD" w14:textId="737134A2" w:rsidR="00CB31A8" w:rsidRPr="00092BCA" w:rsidRDefault="00CB31A8" w:rsidP="00C538C3">
            <w:pPr>
              <w:rPr>
                <w:rFonts w:cstheme="minorHAnsi"/>
              </w:rPr>
            </w:pPr>
            <w:r w:rsidRPr="00092BCA">
              <w:rPr>
                <w:rFonts w:eastAsia="Calibri" w:cstheme="minorHAnsi"/>
                <w:lang w:val="en-US"/>
              </w:rPr>
              <w:t xml:space="preserve">2025 – </w:t>
            </w:r>
            <w:r w:rsidR="00092BCA">
              <w:rPr>
                <w:rFonts w:eastAsia="Calibri" w:cstheme="minorHAnsi"/>
                <w:lang w:val="en-US"/>
              </w:rPr>
              <w:t>m</w:t>
            </w:r>
            <w:r w:rsidRPr="00092BCA">
              <w:rPr>
                <w:rFonts w:eastAsia="Calibri" w:cstheme="minorHAnsi"/>
                <w:lang w:val="en-US"/>
              </w:rPr>
              <w:t xml:space="preserve">onth and date to be confirmed. </w:t>
            </w:r>
          </w:p>
        </w:tc>
      </w:tr>
      <w:tr w:rsidR="00CB31A8" w:rsidRPr="00092BCA" w14:paraId="3AC894B8" w14:textId="77777777" w:rsidTr="00C538C3">
        <w:trPr>
          <w:trHeight w:val="567"/>
        </w:trPr>
        <w:tc>
          <w:tcPr>
            <w:tcW w:w="2747" w:type="dxa"/>
            <w:shd w:val="clear" w:color="auto" w:fill="auto"/>
            <w:vAlign w:val="center"/>
          </w:tcPr>
          <w:p w14:paraId="6357DA96" w14:textId="77777777" w:rsidR="00CB31A8" w:rsidRPr="00092BCA" w:rsidRDefault="00CB31A8" w:rsidP="00C538C3">
            <w:pPr>
              <w:rPr>
                <w:rFonts w:cstheme="minorHAnsi"/>
              </w:rPr>
            </w:pPr>
            <w:r w:rsidRPr="00092BCA">
              <w:rPr>
                <w:rFonts w:eastAsia="Calibri" w:cstheme="minorHAnsi"/>
                <w:lang w:val="en-US"/>
              </w:rPr>
              <w:t>Date of first publication</w:t>
            </w:r>
          </w:p>
        </w:tc>
        <w:tc>
          <w:tcPr>
            <w:tcW w:w="6328" w:type="dxa"/>
            <w:shd w:val="clear" w:color="auto" w:fill="auto"/>
            <w:vAlign w:val="center"/>
          </w:tcPr>
          <w:p w14:paraId="3C699D69" w14:textId="77777777" w:rsidR="00CB31A8" w:rsidRPr="00092BCA" w:rsidRDefault="00CB31A8" w:rsidP="00C538C3">
            <w:pPr>
              <w:rPr>
                <w:rFonts w:cstheme="minorHAnsi"/>
              </w:rPr>
            </w:pPr>
            <w:r w:rsidRPr="00092BCA">
              <w:rPr>
                <w:rFonts w:eastAsia="Calibri" w:cstheme="minorHAnsi"/>
                <w:lang w:val="en-US"/>
              </w:rPr>
              <w:t xml:space="preserve">The Scottish Funding Council first published the Report on Widening Access in 2017. This is the successor publication to ‘Learning for All’, which was published annually between 2007 and 2016. </w:t>
            </w:r>
          </w:p>
        </w:tc>
      </w:tr>
      <w:tr w:rsidR="00CB31A8" w:rsidRPr="00092BCA" w14:paraId="4E2A4ABE" w14:textId="77777777" w:rsidTr="00C538C3">
        <w:trPr>
          <w:trHeight w:val="567"/>
        </w:trPr>
        <w:tc>
          <w:tcPr>
            <w:tcW w:w="2747" w:type="dxa"/>
            <w:tcBorders>
              <w:bottom w:val="single" w:sz="18" w:space="0" w:color="2F1A45"/>
            </w:tcBorders>
            <w:shd w:val="clear" w:color="auto" w:fill="EDF8F9"/>
            <w:vAlign w:val="center"/>
          </w:tcPr>
          <w:p w14:paraId="3BFE2CF0" w14:textId="77777777" w:rsidR="00CB31A8" w:rsidRPr="00092BCA" w:rsidRDefault="00CB31A8" w:rsidP="00C538C3">
            <w:pPr>
              <w:rPr>
                <w:rFonts w:cstheme="minorHAnsi"/>
              </w:rPr>
            </w:pPr>
            <w:r w:rsidRPr="00092BCA">
              <w:rPr>
                <w:rFonts w:eastAsia="Calibri" w:cstheme="minorHAnsi"/>
                <w:lang w:val="en-US"/>
              </w:rPr>
              <w:t xml:space="preserve">Help email </w:t>
            </w:r>
          </w:p>
        </w:tc>
        <w:tc>
          <w:tcPr>
            <w:tcW w:w="6328" w:type="dxa"/>
            <w:tcBorders>
              <w:bottom w:val="single" w:sz="18" w:space="0" w:color="2F1A45"/>
            </w:tcBorders>
            <w:shd w:val="clear" w:color="auto" w:fill="EDF8F9"/>
            <w:vAlign w:val="center"/>
          </w:tcPr>
          <w:p w14:paraId="210EC1B7" w14:textId="77777777" w:rsidR="00CB31A8" w:rsidRPr="00092BCA" w:rsidRDefault="00CB31A8" w:rsidP="00C538C3">
            <w:pPr>
              <w:rPr>
                <w:rFonts w:cstheme="minorHAnsi"/>
              </w:rPr>
            </w:pPr>
            <w:hyperlink r:id="rId38">
              <w:r w:rsidRPr="00092BCA">
                <w:rPr>
                  <w:rStyle w:val="Hyperlink"/>
                  <w:rFonts w:eastAsia="Calibri" w:cstheme="minorHAnsi"/>
                  <w:sz w:val="22"/>
                  <w:lang w:val="en-US"/>
                </w:rPr>
                <w:t>datarequests@sfc.ac.uk</w:t>
              </w:r>
            </w:hyperlink>
          </w:p>
        </w:tc>
      </w:tr>
    </w:tbl>
    <w:p w14:paraId="47823CE1" w14:textId="77777777" w:rsidR="00CB31A8" w:rsidRPr="007F7032" w:rsidRDefault="00CB31A8" w:rsidP="00CB31A8">
      <w:pPr>
        <w:rPr>
          <w:rFonts w:cstheme="minorHAnsi"/>
        </w:rPr>
      </w:pPr>
    </w:p>
    <w:p w14:paraId="4B31DD88" w14:textId="77777777" w:rsidR="00AA1587" w:rsidRDefault="00AA1587" w:rsidP="00AA1587">
      <w:pPr>
        <w:pStyle w:val="Bullets"/>
        <w:numPr>
          <w:ilvl w:val="0"/>
          <w:numId w:val="0"/>
        </w:numPr>
        <w:ind w:left="851" w:hanging="284"/>
      </w:pPr>
    </w:p>
    <w:sectPr w:rsidR="00AA1587" w:rsidSect="000C761B">
      <w:type w:val="continuous"/>
      <w:pgSz w:w="11906" w:h="16838"/>
      <w:pgMar w:top="851" w:right="1440" w:bottom="851" w:left="1440" w:header="73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C265" w14:textId="77777777" w:rsidR="002359A5" w:rsidRDefault="002359A5">
      <w:r>
        <w:separator/>
      </w:r>
    </w:p>
    <w:p w14:paraId="6444588F" w14:textId="77777777" w:rsidR="002359A5" w:rsidRDefault="002359A5"/>
    <w:p w14:paraId="2D0644CF" w14:textId="77777777" w:rsidR="002359A5" w:rsidRDefault="002359A5"/>
    <w:p w14:paraId="648A9163" w14:textId="77777777" w:rsidR="002359A5" w:rsidRDefault="002359A5"/>
    <w:p w14:paraId="32F87B27" w14:textId="77777777" w:rsidR="002359A5" w:rsidRDefault="002359A5"/>
  </w:endnote>
  <w:endnote w:type="continuationSeparator" w:id="0">
    <w:p w14:paraId="70710655" w14:textId="77777777" w:rsidR="002359A5" w:rsidRDefault="002359A5">
      <w:r>
        <w:continuationSeparator/>
      </w:r>
    </w:p>
    <w:p w14:paraId="3B0CDDBF" w14:textId="77777777" w:rsidR="002359A5" w:rsidRDefault="002359A5"/>
    <w:p w14:paraId="77A3B8EE" w14:textId="77777777" w:rsidR="002359A5" w:rsidRDefault="002359A5"/>
    <w:p w14:paraId="5EFA8CC7" w14:textId="77777777" w:rsidR="002359A5" w:rsidRDefault="002359A5"/>
    <w:p w14:paraId="4CF7941F" w14:textId="77777777" w:rsidR="002359A5" w:rsidRDefault="002359A5"/>
  </w:endnote>
  <w:endnote w:type="continuationNotice" w:id="1">
    <w:p w14:paraId="2B0FB814" w14:textId="77777777" w:rsidR="002359A5" w:rsidRDefault="002359A5"/>
    <w:p w14:paraId="151594B6" w14:textId="77777777" w:rsidR="002359A5" w:rsidRDefault="002359A5"/>
    <w:p w14:paraId="77F6BB7E" w14:textId="77777777" w:rsidR="002359A5" w:rsidRDefault="002359A5"/>
    <w:p w14:paraId="4F83C583" w14:textId="77777777" w:rsidR="002359A5" w:rsidRDefault="002359A5"/>
    <w:p w14:paraId="0D3D0C6F" w14:textId="77777777" w:rsidR="002359A5" w:rsidRDefault="0023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8339" w14:textId="77777777" w:rsidR="006A47B2" w:rsidRDefault="006A47B2">
    <w:pPr>
      <w:pStyle w:val="Footer"/>
    </w:pPr>
  </w:p>
  <w:p w14:paraId="3F73F2EE" w14:textId="77777777" w:rsidR="009C4EFF" w:rsidRDefault="009C4EFF"/>
  <w:sdt>
    <w:sdtPr>
      <w:rPr>
        <w:b/>
        <w:bCs/>
        <w:caps/>
        <w:noProof/>
        <w:color w:val="00828E"/>
        <w:sz w:val="20"/>
        <w:szCs w:val="20"/>
      </w:rPr>
      <w:id w:val="-1599392966"/>
      <w:docPartObj>
        <w:docPartGallery w:val="Page Numbers (Bottom of Page)"/>
        <w:docPartUnique/>
      </w:docPartObj>
    </w:sdtPr>
    <w:sdtEndPr>
      <w:rPr>
        <w:color w:val="007782" w:themeColor="accent2" w:themeShade="BF"/>
      </w:rPr>
    </w:sdtEndPr>
    <w:sdtContent>
      <w:p w14:paraId="5E3B6A67"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24"/>
          <w:gridCol w:w="4502"/>
        </w:tblGrid>
        <w:tr w:rsidR="007450C2" w14:paraId="7579408F"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Content>
                <w:p w14:paraId="286DD85F" w14:textId="07468554" w:rsidR="007450C2" w:rsidRPr="001B03B2" w:rsidRDefault="004371A4" w:rsidP="001B03B2">
                  <w:pPr>
                    <w:pStyle w:val="FooterDetails"/>
                    <w:rPr>
                      <w:rStyle w:val="FooterDetailsChar"/>
                      <w:b w:val="0"/>
                      <w:caps/>
                    </w:rPr>
                  </w:pPr>
                  <w:r>
                    <w:rPr>
                      <w:rStyle w:val="FooterDetailsChar"/>
                      <w:caps/>
                    </w:rPr>
                    <w:t>Report on Widening Access 2022-23 Annex</w:t>
                  </w:r>
                </w:p>
              </w:sdtContent>
            </w:sdt>
          </w:tc>
          <w:tc>
            <w:tcPr>
              <w:tcW w:w="4621" w:type="dxa"/>
              <w:shd w:val="clear" w:color="auto" w:fill="FFFFFF" w:themeFill="background1"/>
            </w:tcPr>
            <w:p w14:paraId="19127E05"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47AE9760" w14:textId="77777777" w:rsidR="009C4EFF" w:rsidRDefault="009C4EFF"/>
  <w:sdt>
    <w:sdtPr>
      <w:rPr>
        <w:b/>
        <w:bCs/>
        <w:caps/>
        <w:noProof/>
        <w:color w:val="00828E"/>
        <w:sz w:val="20"/>
        <w:szCs w:val="20"/>
      </w:rPr>
      <w:id w:val="-613133136"/>
      <w:docPartObj>
        <w:docPartGallery w:val="Page Numbers (Bottom of Page)"/>
        <w:docPartUnique/>
      </w:docPartObj>
    </w:sdtPr>
    <w:sdtEndPr>
      <w:rPr>
        <w:color w:val="007782" w:themeColor="accent2" w:themeShade="BF"/>
      </w:rPr>
    </w:sdtEndPr>
    <w:sdtContent>
      <w:p w14:paraId="0FF2073C"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12AEBD92"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Content>
                <w:p w14:paraId="530C359A" w14:textId="7864F560" w:rsidR="007450C2" w:rsidRPr="001B03B2" w:rsidRDefault="004371A4" w:rsidP="001B03B2">
                  <w:pPr>
                    <w:pStyle w:val="FooterDetails"/>
                    <w:rPr>
                      <w:rStyle w:val="FooterDetailsChar"/>
                      <w:b w:val="0"/>
                      <w:caps/>
                    </w:rPr>
                  </w:pPr>
                  <w:r>
                    <w:rPr>
                      <w:rStyle w:val="FooterDetailsChar"/>
                      <w:caps/>
                    </w:rPr>
                    <w:t>Report on Widening Access 2022-23 Annex</w:t>
                  </w:r>
                </w:p>
              </w:sdtContent>
            </w:sdt>
          </w:tc>
          <w:tc>
            <w:tcPr>
              <w:tcW w:w="487" w:type="dxa"/>
              <w:shd w:val="clear" w:color="auto" w:fill="FFFFFF" w:themeFill="background1"/>
            </w:tcPr>
            <w:p w14:paraId="1671469D"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aps/>
        <w:noProof/>
        <w:color w:val="00828E"/>
        <w:sz w:val="20"/>
        <w:szCs w:val="20"/>
      </w:rPr>
      <w:id w:val="-849325694"/>
      <w:docPartObj>
        <w:docPartGallery w:val="Page Numbers (Bottom of Page)"/>
        <w:docPartUnique/>
      </w:docPartObj>
    </w:sdtPr>
    <w:sdtEndPr>
      <w:rPr>
        <w:color w:val="007782" w:themeColor="accent2" w:themeShade="BF"/>
      </w:rPr>
    </w:sdtEndPr>
    <w:sdtContent>
      <w:p w14:paraId="4766CE01"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31179AFE"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Content>
                <w:p w14:paraId="4DF9E723" w14:textId="604F2787" w:rsidR="007450C2" w:rsidRPr="001B03B2" w:rsidRDefault="004371A4" w:rsidP="001B03B2">
                  <w:pPr>
                    <w:pStyle w:val="FooterDetails"/>
                    <w:rPr>
                      <w:rStyle w:val="FooterDetailsChar"/>
                      <w:b w:val="0"/>
                      <w:caps/>
                    </w:rPr>
                  </w:pPr>
                  <w:r>
                    <w:rPr>
                      <w:rStyle w:val="FooterDetailsChar"/>
                      <w:caps/>
                    </w:rPr>
                    <w:t>Report on Widening Access 2022-23 Annex</w:t>
                  </w:r>
                </w:p>
              </w:sdtContent>
            </w:sdt>
          </w:tc>
          <w:tc>
            <w:tcPr>
              <w:tcW w:w="794" w:type="dxa"/>
              <w:shd w:val="clear" w:color="auto" w:fill="FFFFFF" w:themeFill="background1"/>
            </w:tcPr>
            <w:p w14:paraId="0724FD57"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71A1D870" w14:textId="77777777" w:rsidR="0023717C" w:rsidRDefault="002371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C5DB" w14:textId="77777777" w:rsidR="005307A4" w:rsidRDefault="0053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A1779" w14:textId="77777777" w:rsidR="002359A5" w:rsidRDefault="002359A5">
      <w:r>
        <w:separator/>
      </w:r>
    </w:p>
  </w:footnote>
  <w:footnote w:type="continuationSeparator" w:id="0">
    <w:p w14:paraId="64738F28" w14:textId="77777777" w:rsidR="002359A5" w:rsidRDefault="002359A5">
      <w:r>
        <w:continuationSeparator/>
      </w:r>
    </w:p>
  </w:footnote>
  <w:footnote w:type="continuationNotice" w:id="1">
    <w:p w14:paraId="204E6AC9" w14:textId="77777777" w:rsidR="002359A5" w:rsidRDefault="002359A5" w:rsidP="00C9714C">
      <w:pPr>
        <w:spacing w:after="0" w:line="120" w:lineRule="auto"/>
      </w:pPr>
    </w:p>
  </w:footnote>
  <w:footnote w:id="2">
    <w:p w14:paraId="21770E0F" w14:textId="77777777" w:rsidR="00BD3CE6" w:rsidRPr="00973D21" w:rsidRDefault="00BD3CE6" w:rsidP="00BD3CE6">
      <w:pPr>
        <w:pStyle w:val="FootnoteText"/>
        <w:rPr>
          <w:sz w:val="24"/>
          <w:szCs w:val="24"/>
          <w:lang w:val="en-US"/>
        </w:rPr>
      </w:pPr>
      <w:r w:rsidRPr="00973D21">
        <w:rPr>
          <w:rStyle w:val="FootnoteReference"/>
          <w:sz w:val="24"/>
          <w:szCs w:val="24"/>
        </w:rPr>
        <w:footnoteRef/>
      </w:r>
      <w:r w:rsidRPr="00973D21">
        <w:rPr>
          <w:sz w:val="24"/>
          <w:szCs w:val="24"/>
        </w:rPr>
        <w:t xml:space="preserve"> </w:t>
      </w:r>
      <w:r w:rsidRPr="00973D21">
        <w:rPr>
          <w:rFonts w:eastAsia="Calibri" w:cstheme="minorHAnsi"/>
          <w:sz w:val="24"/>
          <w:szCs w:val="24"/>
          <w:lang w:val="en-US"/>
        </w:rPr>
        <w:t>Including Diploma Higher Education (DipHE) leading towards obtaining eligibility to register to practice with a health or social care or veterinary statutory regulatory body.</w:t>
      </w:r>
    </w:p>
  </w:footnote>
  <w:footnote w:id="3">
    <w:p w14:paraId="096B6803" w14:textId="77777777" w:rsidR="00D2096F" w:rsidRPr="0059208E" w:rsidRDefault="00D2096F" w:rsidP="00D2096F">
      <w:pPr>
        <w:rPr>
          <w:rFonts w:cstheme="minorHAnsi"/>
        </w:rPr>
      </w:pPr>
      <w:r w:rsidRPr="00973D21">
        <w:rPr>
          <w:rStyle w:val="FootnoteReference"/>
          <w:szCs w:val="24"/>
        </w:rPr>
        <w:footnoteRef/>
      </w:r>
      <w:r w:rsidRPr="00973D21">
        <w:rPr>
          <w:szCs w:val="24"/>
        </w:rPr>
        <w:t xml:space="preserve"> </w:t>
      </w:r>
      <w:r w:rsidRPr="00973D21">
        <w:rPr>
          <w:rFonts w:eastAsia="Calibri" w:cstheme="minorHAnsi"/>
          <w:szCs w:val="24"/>
          <w:lang w:val="en-US"/>
        </w:rPr>
        <w:t>1 credit equates to 40 notional hours of learning.</w:t>
      </w:r>
    </w:p>
  </w:footnote>
  <w:footnote w:id="4">
    <w:p w14:paraId="30859C4E" w14:textId="4F7E9215" w:rsidR="00903585" w:rsidRPr="00973D21" w:rsidRDefault="00903585">
      <w:pPr>
        <w:pStyle w:val="FootnoteText"/>
        <w:rPr>
          <w:sz w:val="24"/>
          <w:szCs w:val="24"/>
        </w:rPr>
      </w:pPr>
      <w:r w:rsidRPr="00973D21">
        <w:rPr>
          <w:rStyle w:val="FootnoteReference"/>
          <w:sz w:val="24"/>
          <w:szCs w:val="24"/>
        </w:rPr>
        <w:footnoteRef/>
      </w:r>
      <w:r w:rsidRPr="00973D21">
        <w:rPr>
          <w:sz w:val="24"/>
          <w:szCs w:val="24"/>
        </w:rPr>
        <w:t xml:space="preserve"> Data requests should be submitted using the dedicated form here: </w:t>
      </w:r>
      <w:hyperlink r:id="rId1" w:history="1">
        <w:r w:rsidRPr="00973D21">
          <w:rPr>
            <w:rStyle w:val="Hyperlink"/>
            <w:szCs w:val="24"/>
          </w:rPr>
          <w:t>Data and Analysis</w:t>
        </w:r>
      </w:hyperlink>
    </w:p>
  </w:footnote>
  <w:footnote w:id="5">
    <w:p w14:paraId="7881F874" w14:textId="77777777" w:rsidR="00D2096F" w:rsidRPr="00973D21" w:rsidRDefault="00D2096F" w:rsidP="00D2096F">
      <w:pPr>
        <w:pStyle w:val="FootnoteText"/>
        <w:rPr>
          <w:sz w:val="24"/>
          <w:szCs w:val="24"/>
          <w:lang w:val="en-US"/>
        </w:rPr>
      </w:pPr>
      <w:r w:rsidRPr="00973D21">
        <w:rPr>
          <w:rStyle w:val="FootnoteReference"/>
          <w:sz w:val="24"/>
          <w:szCs w:val="24"/>
        </w:rPr>
        <w:footnoteRef/>
      </w:r>
      <w:r w:rsidRPr="00973D21">
        <w:rPr>
          <w:sz w:val="24"/>
          <w:szCs w:val="24"/>
        </w:rPr>
        <w:t xml:space="preserve"> </w:t>
      </w:r>
      <w:r w:rsidRPr="00973D21">
        <w:rPr>
          <w:rFonts w:eastAsia="Calibri" w:cstheme="minorHAnsi"/>
          <w:sz w:val="24"/>
          <w:szCs w:val="24"/>
          <w:lang w:val="en-US"/>
        </w:rPr>
        <w:t>Please note that SIMD figures can differ slightly from other sources, depending on when SIMD lookup files are created. New postcodes periodically come into existence (e.g. when new housing developments are created). As such the number of students to whom we are able to match to a SIMD ranking can vary from other sources, depending on timing.</w:t>
      </w:r>
    </w:p>
  </w:footnote>
  <w:footnote w:id="6">
    <w:p w14:paraId="2D257147" w14:textId="77777777" w:rsidR="00D2096F" w:rsidRPr="00973D21" w:rsidRDefault="00D2096F" w:rsidP="00D2096F">
      <w:pPr>
        <w:pStyle w:val="FootnoteText"/>
        <w:rPr>
          <w:sz w:val="24"/>
          <w:szCs w:val="24"/>
        </w:rPr>
      </w:pPr>
      <w:r w:rsidRPr="00973D21">
        <w:rPr>
          <w:rStyle w:val="FootnoteReference"/>
          <w:sz w:val="24"/>
          <w:szCs w:val="24"/>
        </w:rPr>
        <w:footnoteRef/>
      </w:r>
      <w:r w:rsidRPr="00973D21">
        <w:rPr>
          <w:sz w:val="24"/>
          <w:szCs w:val="24"/>
        </w:rPr>
        <w:t xml:space="preserve"> New in the HESA Data Futures data for 2022-23 – covers university sector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D51E" w14:textId="77777777" w:rsidR="005307A4" w:rsidRDefault="00530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CF93" w14:textId="73D85348" w:rsidR="007450C2" w:rsidRPr="006B7260" w:rsidRDefault="007450C2" w:rsidP="004E7E05">
    <w:pPr>
      <w:pStyle w:val="Sectionheading"/>
      <w:rPr>
        <w:b/>
        <w:bCs/>
        <w:color w:val="00828E"/>
        <w:szCs w:val="16"/>
      </w:rPr>
    </w:pPr>
    <w:r w:rsidRPr="006B7260">
      <w:rPr>
        <w:b/>
        <w:bCs/>
        <w:color w:val="00828E"/>
        <w:szCs w:val="16"/>
      </w:rPr>
      <w:t>Scottish funding council</w:t>
    </w:r>
  </w:p>
  <w:p w14:paraId="01530AE1" w14:textId="77777777" w:rsidR="0023717C" w:rsidRDefault="002371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16F3" w14:textId="77777777" w:rsidR="005307A4" w:rsidRDefault="00530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2B04"/>
    <w:multiLevelType w:val="hybridMultilevel"/>
    <w:tmpl w:val="6068E006"/>
    <w:lvl w:ilvl="0" w:tplc="1868CB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32916A8"/>
    <w:multiLevelType w:val="hybridMultilevel"/>
    <w:tmpl w:val="D906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7"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0"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710877"/>
    <w:multiLevelType w:val="multilevel"/>
    <w:tmpl w:val="A296CB9C"/>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5C957FC4"/>
    <w:multiLevelType w:val="hybridMultilevel"/>
    <w:tmpl w:val="970C2D68"/>
    <w:lvl w:ilvl="0" w:tplc="18BEB2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0"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145589549">
    <w:abstractNumId w:val="32"/>
  </w:num>
  <w:num w:numId="2" w16cid:durableId="320424880">
    <w:abstractNumId w:val="8"/>
  </w:num>
  <w:num w:numId="3" w16cid:durableId="594552367">
    <w:abstractNumId w:val="18"/>
  </w:num>
  <w:num w:numId="4" w16cid:durableId="1014452522">
    <w:abstractNumId w:val="38"/>
  </w:num>
  <w:num w:numId="5" w16cid:durableId="166988042">
    <w:abstractNumId w:val="15"/>
  </w:num>
  <w:num w:numId="6" w16cid:durableId="1662538304">
    <w:abstractNumId w:val="8"/>
    <w:lvlOverride w:ilvl="0">
      <w:startOverride w:val="1"/>
    </w:lvlOverride>
  </w:num>
  <w:num w:numId="7" w16cid:durableId="394475007">
    <w:abstractNumId w:val="23"/>
  </w:num>
  <w:num w:numId="8" w16cid:durableId="120468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27058">
    <w:abstractNumId w:val="24"/>
  </w:num>
  <w:num w:numId="10" w16cid:durableId="1791439687">
    <w:abstractNumId w:val="41"/>
  </w:num>
  <w:num w:numId="11" w16cid:durableId="2041971947">
    <w:abstractNumId w:val="40"/>
  </w:num>
  <w:num w:numId="12" w16cid:durableId="37093453">
    <w:abstractNumId w:val="28"/>
  </w:num>
  <w:num w:numId="13" w16cid:durableId="1765414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2234852">
    <w:abstractNumId w:val="8"/>
    <w:lvlOverride w:ilvl="0">
      <w:startOverride w:val="1"/>
    </w:lvlOverride>
  </w:num>
  <w:num w:numId="15" w16cid:durableId="1279407811">
    <w:abstractNumId w:val="21"/>
  </w:num>
  <w:num w:numId="16" w16cid:durableId="143740080">
    <w:abstractNumId w:val="8"/>
  </w:num>
  <w:num w:numId="17" w16cid:durableId="22289495">
    <w:abstractNumId w:val="22"/>
  </w:num>
  <w:num w:numId="18" w16cid:durableId="736318153">
    <w:abstractNumId w:val="30"/>
  </w:num>
  <w:num w:numId="19" w16cid:durableId="1885561688">
    <w:abstractNumId w:val="14"/>
  </w:num>
  <w:num w:numId="20" w16cid:durableId="32199056">
    <w:abstractNumId w:val="8"/>
    <w:lvlOverride w:ilvl="0">
      <w:startOverride w:val="1"/>
    </w:lvlOverride>
  </w:num>
  <w:num w:numId="21" w16cid:durableId="1887371744">
    <w:abstractNumId w:val="9"/>
  </w:num>
  <w:num w:numId="22" w16cid:durableId="852233317">
    <w:abstractNumId w:val="39"/>
  </w:num>
  <w:num w:numId="23" w16cid:durableId="1631935140">
    <w:abstractNumId w:val="26"/>
  </w:num>
  <w:num w:numId="24" w16cid:durableId="1597597198">
    <w:abstractNumId w:val="36"/>
  </w:num>
  <w:num w:numId="25" w16cid:durableId="1458522216">
    <w:abstractNumId w:val="29"/>
  </w:num>
  <w:num w:numId="26" w16cid:durableId="1574656927">
    <w:abstractNumId w:val="13"/>
  </w:num>
  <w:num w:numId="27" w16cid:durableId="1859157699">
    <w:abstractNumId w:val="7"/>
  </w:num>
  <w:num w:numId="28" w16cid:durableId="290743894">
    <w:abstractNumId w:val="6"/>
  </w:num>
  <w:num w:numId="29" w16cid:durableId="766464557">
    <w:abstractNumId w:val="5"/>
  </w:num>
  <w:num w:numId="30" w16cid:durableId="540292251">
    <w:abstractNumId w:val="4"/>
  </w:num>
  <w:num w:numId="31" w16cid:durableId="1344429330">
    <w:abstractNumId w:val="3"/>
  </w:num>
  <w:num w:numId="32" w16cid:durableId="276758788">
    <w:abstractNumId w:val="2"/>
  </w:num>
  <w:num w:numId="33" w16cid:durableId="358704400">
    <w:abstractNumId w:val="1"/>
  </w:num>
  <w:num w:numId="34" w16cid:durableId="77792931">
    <w:abstractNumId w:val="0"/>
  </w:num>
  <w:num w:numId="35" w16cid:durableId="215090744">
    <w:abstractNumId w:val="16"/>
  </w:num>
  <w:num w:numId="36" w16cid:durableId="3436645">
    <w:abstractNumId w:val="20"/>
  </w:num>
  <w:num w:numId="37" w16cid:durableId="1826624141">
    <w:abstractNumId w:val="12"/>
  </w:num>
  <w:num w:numId="38" w16cid:durableId="699210794">
    <w:abstractNumId w:val="17"/>
  </w:num>
  <w:num w:numId="39" w16cid:durableId="1497257871">
    <w:abstractNumId w:val="31"/>
  </w:num>
  <w:num w:numId="40" w16cid:durableId="1567570299">
    <w:abstractNumId w:val="25"/>
  </w:num>
  <w:num w:numId="41" w16cid:durableId="1950507434">
    <w:abstractNumId w:val="27"/>
  </w:num>
  <w:num w:numId="42" w16cid:durableId="1988313359">
    <w:abstractNumId w:val="35"/>
  </w:num>
  <w:num w:numId="43" w16cid:durableId="682434164">
    <w:abstractNumId w:val="11"/>
  </w:num>
  <w:num w:numId="44" w16cid:durableId="252979289">
    <w:abstractNumId w:val="37"/>
  </w:num>
  <w:num w:numId="45" w16cid:durableId="340593542">
    <w:abstractNumId w:val="33"/>
  </w:num>
  <w:num w:numId="46" w16cid:durableId="2145075874">
    <w:abstractNumId w:val="34"/>
  </w:num>
  <w:num w:numId="47" w16cid:durableId="591936212">
    <w:abstractNumId w:val="19"/>
  </w:num>
  <w:num w:numId="48" w16cid:durableId="1541356511">
    <w:abstractNumId w:val="10"/>
  </w:num>
  <w:num w:numId="49" w16cid:durableId="1935624747">
    <w:abstractNumId w:val="31"/>
  </w:num>
  <w:num w:numId="50" w16cid:durableId="1182088503">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47"/>
    <w:rsid w:val="0000074A"/>
    <w:rsid w:val="0000088B"/>
    <w:rsid w:val="000008AC"/>
    <w:rsid w:val="00000BD9"/>
    <w:rsid w:val="00000CE1"/>
    <w:rsid w:val="00001380"/>
    <w:rsid w:val="00002B47"/>
    <w:rsid w:val="00002F76"/>
    <w:rsid w:val="000033ED"/>
    <w:rsid w:val="000034EE"/>
    <w:rsid w:val="00003DCF"/>
    <w:rsid w:val="00003DD7"/>
    <w:rsid w:val="00003F54"/>
    <w:rsid w:val="00004852"/>
    <w:rsid w:val="000049E7"/>
    <w:rsid w:val="00005066"/>
    <w:rsid w:val="00005D89"/>
    <w:rsid w:val="00005E9C"/>
    <w:rsid w:val="0000613C"/>
    <w:rsid w:val="000069B0"/>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FC5"/>
    <w:rsid w:val="00013FCE"/>
    <w:rsid w:val="000144A6"/>
    <w:rsid w:val="00014943"/>
    <w:rsid w:val="00014A10"/>
    <w:rsid w:val="00014BBF"/>
    <w:rsid w:val="00015EC0"/>
    <w:rsid w:val="000172CF"/>
    <w:rsid w:val="00017D6C"/>
    <w:rsid w:val="00017DB4"/>
    <w:rsid w:val="00020412"/>
    <w:rsid w:val="000206C9"/>
    <w:rsid w:val="000207DA"/>
    <w:rsid w:val="00020F8E"/>
    <w:rsid w:val="00021A08"/>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5B8C"/>
    <w:rsid w:val="0003610D"/>
    <w:rsid w:val="00036659"/>
    <w:rsid w:val="00036C5F"/>
    <w:rsid w:val="00037908"/>
    <w:rsid w:val="00037C1B"/>
    <w:rsid w:val="00037EEC"/>
    <w:rsid w:val="000402DE"/>
    <w:rsid w:val="000414A7"/>
    <w:rsid w:val="00042F58"/>
    <w:rsid w:val="00043066"/>
    <w:rsid w:val="0004341C"/>
    <w:rsid w:val="00043D96"/>
    <w:rsid w:val="00044797"/>
    <w:rsid w:val="000449F3"/>
    <w:rsid w:val="00044D02"/>
    <w:rsid w:val="00045864"/>
    <w:rsid w:val="00046218"/>
    <w:rsid w:val="00046256"/>
    <w:rsid w:val="00046BF1"/>
    <w:rsid w:val="000476DC"/>
    <w:rsid w:val="00047B0F"/>
    <w:rsid w:val="00050276"/>
    <w:rsid w:val="00050337"/>
    <w:rsid w:val="00050AD6"/>
    <w:rsid w:val="00050D85"/>
    <w:rsid w:val="000511F0"/>
    <w:rsid w:val="000514E6"/>
    <w:rsid w:val="00051D63"/>
    <w:rsid w:val="00051F61"/>
    <w:rsid w:val="0005269E"/>
    <w:rsid w:val="000526BC"/>
    <w:rsid w:val="000537D3"/>
    <w:rsid w:val="00053D8E"/>
    <w:rsid w:val="00054D5C"/>
    <w:rsid w:val="00055309"/>
    <w:rsid w:val="00055451"/>
    <w:rsid w:val="0005564D"/>
    <w:rsid w:val="00056632"/>
    <w:rsid w:val="00056733"/>
    <w:rsid w:val="00056829"/>
    <w:rsid w:val="00056B64"/>
    <w:rsid w:val="00056D29"/>
    <w:rsid w:val="00057DEA"/>
    <w:rsid w:val="00057E2D"/>
    <w:rsid w:val="000608C8"/>
    <w:rsid w:val="00060AAD"/>
    <w:rsid w:val="00060B6E"/>
    <w:rsid w:val="0006225E"/>
    <w:rsid w:val="00062D45"/>
    <w:rsid w:val="00063459"/>
    <w:rsid w:val="000636EB"/>
    <w:rsid w:val="00063760"/>
    <w:rsid w:val="000643FD"/>
    <w:rsid w:val="000645A5"/>
    <w:rsid w:val="00064F5E"/>
    <w:rsid w:val="00064FBB"/>
    <w:rsid w:val="000650D6"/>
    <w:rsid w:val="000655E6"/>
    <w:rsid w:val="000658FF"/>
    <w:rsid w:val="00066090"/>
    <w:rsid w:val="00066173"/>
    <w:rsid w:val="0006651B"/>
    <w:rsid w:val="000673A7"/>
    <w:rsid w:val="000673AB"/>
    <w:rsid w:val="000675E0"/>
    <w:rsid w:val="0006780A"/>
    <w:rsid w:val="00070797"/>
    <w:rsid w:val="000709BD"/>
    <w:rsid w:val="00070A32"/>
    <w:rsid w:val="00070A47"/>
    <w:rsid w:val="00070AB1"/>
    <w:rsid w:val="0007114E"/>
    <w:rsid w:val="0007162C"/>
    <w:rsid w:val="00071768"/>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BC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26EA"/>
    <w:rsid w:val="000B2BDF"/>
    <w:rsid w:val="000B2E91"/>
    <w:rsid w:val="000B36E0"/>
    <w:rsid w:val="000B41D2"/>
    <w:rsid w:val="000B420F"/>
    <w:rsid w:val="000B4FF0"/>
    <w:rsid w:val="000B5424"/>
    <w:rsid w:val="000B546F"/>
    <w:rsid w:val="000B55F3"/>
    <w:rsid w:val="000B5984"/>
    <w:rsid w:val="000B59FA"/>
    <w:rsid w:val="000B5B11"/>
    <w:rsid w:val="000B5D4E"/>
    <w:rsid w:val="000B672C"/>
    <w:rsid w:val="000B67D3"/>
    <w:rsid w:val="000B7F6A"/>
    <w:rsid w:val="000C0B09"/>
    <w:rsid w:val="000C0DD6"/>
    <w:rsid w:val="000C0DF0"/>
    <w:rsid w:val="000C169C"/>
    <w:rsid w:val="000C2670"/>
    <w:rsid w:val="000C2CAE"/>
    <w:rsid w:val="000C3216"/>
    <w:rsid w:val="000C3247"/>
    <w:rsid w:val="000C4061"/>
    <w:rsid w:val="000C40A5"/>
    <w:rsid w:val="000C423D"/>
    <w:rsid w:val="000C48AF"/>
    <w:rsid w:val="000C4A9D"/>
    <w:rsid w:val="000C4C27"/>
    <w:rsid w:val="000C4C68"/>
    <w:rsid w:val="000C57E9"/>
    <w:rsid w:val="000C5CDB"/>
    <w:rsid w:val="000C666B"/>
    <w:rsid w:val="000C6DCB"/>
    <w:rsid w:val="000C6FCC"/>
    <w:rsid w:val="000C7216"/>
    <w:rsid w:val="000C761B"/>
    <w:rsid w:val="000C7DCC"/>
    <w:rsid w:val="000C7E1B"/>
    <w:rsid w:val="000D0165"/>
    <w:rsid w:val="000D016F"/>
    <w:rsid w:val="000D112E"/>
    <w:rsid w:val="000D13F5"/>
    <w:rsid w:val="000D1956"/>
    <w:rsid w:val="000D19B0"/>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8F"/>
    <w:rsid w:val="000E1C03"/>
    <w:rsid w:val="000E1DCE"/>
    <w:rsid w:val="000E1E02"/>
    <w:rsid w:val="000E286B"/>
    <w:rsid w:val="000E3C40"/>
    <w:rsid w:val="000E3E52"/>
    <w:rsid w:val="000E3FA9"/>
    <w:rsid w:val="000E43C9"/>
    <w:rsid w:val="000E48EA"/>
    <w:rsid w:val="000E4AEA"/>
    <w:rsid w:val="000E51C5"/>
    <w:rsid w:val="000E55DB"/>
    <w:rsid w:val="000E55EC"/>
    <w:rsid w:val="000E5739"/>
    <w:rsid w:val="000E5790"/>
    <w:rsid w:val="000E5A76"/>
    <w:rsid w:val="000E5F48"/>
    <w:rsid w:val="000E64F0"/>
    <w:rsid w:val="000E66FB"/>
    <w:rsid w:val="000E677A"/>
    <w:rsid w:val="000E6DAB"/>
    <w:rsid w:val="000E70A3"/>
    <w:rsid w:val="000F0764"/>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5CA"/>
    <w:rsid w:val="00107239"/>
    <w:rsid w:val="001073AD"/>
    <w:rsid w:val="00107689"/>
    <w:rsid w:val="0011001F"/>
    <w:rsid w:val="001103F0"/>
    <w:rsid w:val="0011049B"/>
    <w:rsid w:val="00110827"/>
    <w:rsid w:val="00110990"/>
    <w:rsid w:val="00110D43"/>
    <w:rsid w:val="0011186D"/>
    <w:rsid w:val="00111A91"/>
    <w:rsid w:val="00111E6C"/>
    <w:rsid w:val="00111FAF"/>
    <w:rsid w:val="0011218C"/>
    <w:rsid w:val="00112621"/>
    <w:rsid w:val="00112A1A"/>
    <w:rsid w:val="00112AF0"/>
    <w:rsid w:val="00112D10"/>
    <w:rsid w:val="001131EE"/>
    <w:rsid w:val="001138D4"/>
    <w:rsid w:val="0011423D"/>
    <w:rsid w:val="00114F05"/>
    <w:rsid w:val="0011503F"/>
    <w:rsid w:val="001151EE"/>
    <w:rsid w:val="001153C3"/>
    <w:rsid w:val="0011572A"/>
    <w:rsid w:val="00116961"/>
    <w:rsid w:val="0012059A"/>
    <w:rsid w:val="00120A17"/>
    <w:rsid w:val="00120A80"/>
    <w:rsid w:val="001217A1"/>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30133"/>
    <w:rsid w:val="0013143D"/>
    <w:rsid w:val="00131BE0"/>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E10"/>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B09"/>
    <w:rsid w:val="00146FB1"/>
    <w:rsid w:val="00147B29"/>
    <w:rsid w:val="00147F0E"/>
    <w:rsid w:val="0015004E"/>
    <w:rsid w:val="001504D3"/>
    <w:rsid w:val="001509D9"/>
    <w:rsid w:val="00150C29"/>
    <w:rsid w:val="00151334"/>
    <w:rsid w:val="001517D6"/>
    <w:rsid w:val="00151AC8"/>
    <w:rsid w:val="001526F5"/>
    <w:rsid w:val="001533B8"/>
    <w:rsid w:val="0015347C"/>
    <w:rsid w:val="00153AC3"/>
    <w:rsid w:val="00153F1D"/>
    <w:rsid w:val="00153F8A"/>
    <w:rsid w:val="00154048"/>
    <w:rsid w:val="001540E3"/>
    <w:rsid w:val="0015480F"/>
    <w:rsid w:val="00155438"/>
    <w:rsid w:val="001563A0"/>
    <w:rsid w:val="0015690D"/>
    <w:rsid w:val="0015745F"/>
    <w:rsid w:val="00157989"/>
    <w:rsid w:val="001601B2"/>
    <w:rsid w:val="001602D2"/>
    <w:rsid w:val="00161A04"/>
    <w:rsid w:val="00162065"/>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2EA6"/>
    <w:rsid w:val="00173031"/>
    <w:rsid w:val="001735C5"/>
    <w:rsid w:val="00173913"/>
    <w:rsid w:val="00173920"/>
    <w:rsid w:val="00173BC4"/>
    <w:rsid w:val="00174412"/>
    <w:rsid w:val="0017457F"/>
    <w:rsid w:val="0017495C"/>
    <w:rsid w:val="00174A0E"/>
    <w:rsid w:val="00174D99"/>
    <w:rsid w:val="00176064"/>
    <w:rsid w:val="00177644"/>
    <w:rsid w:val="00177800"/>
    <w:rsid w:val="00177F96"/>
    <w:rsid w:val="00180AEB"/>
    <w:rsid w:val="001812FC"/>
    <w:rsid w:val="00181440"/>
    <w:rsid w:val="001816E6"/>
    <w:rsid w:val="00181713"/>
    <w:rsid w:val="00181757"/>
    <w:rsid w:val="001824D7"/>
    <w:rsid w:val="001824FF"/>
    <w:rsid w:val="001833F6"/>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A0FE3"/>
    <w:rsid w:val="001A14B1"/>
    <w:rsid w:val="001A14C7"/>
    <w:rsid w:val="001A2ABE"/>
    <w:rsid w:val="001A39D9"/>
    <w:rsid w:val="001A39E8"/>
    <w:rsid w:val="001A3CF0"/>
    <w:rsid w:val="001A4B6D"/>
    <w:rsid w:val="001A509C"/>
    <w:rsid w:val="001A50C0"/>
    <w:rsid w:val="001A513E"/>
    <w:rsid w:val="001A5634"/>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A7C"/>
    <w:rsid w:val="001B2C0A"/>
    <w:rsid w:val="001B35EA"/>
    <w:rsid w:val="001B3629"/>
    <w:rsid w:val="001B3662"/>
    <w:rsid w:val="001B3B25"/>
    <w:rsid w:val="001B3C0A"/>
    <w:rsid w:val="001B3C16"/>
    <w:rsid w:val="001B4188"/>
    <w:rsid w:val="001B474A"/>
    <w:rsid w:val="001B4982"/>
    <w:rsid w:val="001B50F2"/>
    <w:rsid w:val="001B7138"/>
    <w:rsid w:val="001B7672"/>
    <w:rsid w:val="001C120A"/>
    <w:rsid w:val="001C2625"/>
    <w:rsid w:val="001C2B5E"/>
    <w:rsid w:val="001C2FDF"/>
    <w:rsid w:val="001C318B"/>
    <w:rsid w:val="001C36BF"/>
    <w:rsid w:val="001C3CF9"/>
    <w:rsid w:val="001C3F92"/>
    <w:rsid w:val="001C4190"/>
    <w:rsid w:val="001C48D0"/>
    <w:rsid w:val="001C4C6F"/>
    <w:rsid w:val="001C522F"/>
    <w:rsid w:val="001C5B51"/>
    <w:rsid w:val="001C5C6A"/>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2AE"/>
    <w:rsid w:val="001D3B35"/>
    <w:rsid w:val="001D3E37"/>
    <w:rsid w:val="001D41D5"/>
    <w:rsid w:val="001D43E3"/>
    <w:rsid w:val="001D45CF"/>
    <w:rsid w:val="001D471D"/>
    <w:rsid w:val="001D48D4"/>
    <w:rsid w:val="001D48D5"/>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7C5"/>
    <w:rsid w:val="001E7343"/>
    <w:rsid w:val="001E792F"/>
    <w:rsid w:val="001E7BBE"/>
    <w:rsid w:val="001F0350"/>
    <w:rsid w:val="001F0549"/>
    <w:rsid w:val="001F09C3"/>
    <w:rsid w:val="001F0C53"/>
    <w:rsid w:val="001F13BC"/>
    <w:rsid w:val="001F1455"/>
    <w:rsid w:val="001F14AE"/>
    <w:rsid w:val="001F14BC"/>
    <w:rsid w:val="001F19F3"/>
    <w:rsid w:val="001F1B28"/>
    <w:rsid w:val="001F1F08"/>
    <w:rsid w:val="001F1F10"/>
    <w:rsid w:val="001F203F"/>
    <w:rsid w:val="001F2833"/>
    <w:rsid w:val="001F2879"/>
    <w:rsid w:val="001F28AF"/>
    <w:rsid w:val="001F3153"/>
    <w:rsid w:val="001F3644"/>
    <w:rsid w:val="001F3F27"/>
    <w:rsid w:val="001F44C6"/>
    <w:rsid w:val="001F44D8"/>
    <w:rsid w:val="001F4669"/>
    <w:rsid w:val="001F4706"/>
    <w:rsid w:val="001F4958"/>
    <w:rsid w:val="001F495B"/>
    <w:rsid w:val="001F4FD8"/>
    <w:rsid w:val="001F517E"/>
    <w:rsid w:val="001F5588"/>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984"/>
    <w:rsid w:val="00211EC2"/>
    <w:rsid w:val="00211ED4"/>
    <w:rsid w:val="00211FD3"/>
    <w:rsid w:val="0021314B"/>
    <w:rsid w:val="002136F0"/>
    <w:rsid w:val="00213DAF"/>
    <w:rsid w:val="002141C7"/>
    <w:rsid w:val="00214890"/>
    <w:rsid w:val="00214899"/>
    <w:rsid w:val="00214B45"/>
    <w:rsid w:val="00214F72"/>
    <w:rsid w:val="00214FD2"/>
    <w:rsid w:val="00215307"/>
    <w:rsid w:val="00215BE7"/>
    <w:rsid w:val="00215E04"/>
    <w:rsid w:val="00216474"/>
    <w:rsid w:val="002173DF"/>
    <w:rsid w:val="002177A6"/>
    <w:rsid w:val="00217988"/>
    <w:rsid w:val="00217C93"/>
    <w:rsid w:val="00217D7E"/>
    <w:rsid w:val="00220041"/>
    <w:rsid w:val="002209EE"/>
    <w:rsid w:val="00220D4C"/>
    <w:rsid w:val="00221CC8"/>
    <w:rsid w:val="002223B0"/>
    <w:rsid w:val="0022296A"/>
    <w:rsid w:val="00222AF0"/>
    <w:rsid w:val="00222BBA"/>
    <w:rsid w:val="002237CF"/>
    <w:rsid w:val="00223B25"/>
    <w:rsid w:val="00223CB2"/>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AD"/>
    <w:rsid w:val="002336BA"/>
    <w:rsid w:val="00233831"/>
    <w:rsid w:val="00233B94"/>
    <w:rsid w:val="00233C37"/>
    <w:rsid w:val="00233FEF"/>
    <w:rsid w:val="00234493"/>
    <w:rsid w:val="00234CE7"/>
    <w:rsid w:val="00234D80"/>
    <w:rsid w:val="00234F22"/>
    <w:rsid w:val="002353F5"/>
    <w:rsid w:val="0023557E"/>
    <w:rsid w:val="00235720"/>
    <w:rsid w:val="002359A5"/>
    <w:rsid w:val="00235EE0"/>
    <w:rsid w:val="002361E5"/>
    <w:rsid w:val="00236355"/>
    <w:rsid w:val="00236BAD"/>
    <w:rsid w:val="0023717C"/>
    <w:rsid w:val="0023765D"/>
    <w:rsid w:val="00237F12"/>
    <w:rsid w:val="002407B6"/>
    <w:rsid w:val="0024170E"/>
    <w:rsid w:val="002421E5"/>
    <w:rsid w:val="002423A5"/>
    <w:rsid w:val="002426F6"/>
    <w:rsid w:val="002429C2"/>
    <w:rsid w:val="00242CB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C3"/>
    <w:rsid w:val="00251046"/>
    <w:rsid w:val="00251259"/>
    <w:rsid w:val="00251AC6"/>
    <w:rsid w:val="00251B81"/>
    <w:rsid w:val="00251CB9"/>
    <w:rsid w:val="00251D5D"/>
    <w:rsid w:val="002520DF"/>
    <w:rsid w:val="00252301"/>
    <w:rsid w:val="002526D7"/>
    <w:rsid w:val="002535AD"/>
    <w:rsid w:val="002537BA"/>
    <w:rsid w:val="00253B3E"/>
    <w:rsid w:val="00253D1F"/>
    <w:rsid w:val="00253DC7"/>
    <w:rsid w:val="00254702"/>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F64"/>
    <w:rsid w:val="0026796F"/>
    <w:rsid w:val="00267DC9"/>
    <w:rsid w:val="002705C3"/>
    <w:rsid w:val="00270EBC"/>
    <w:rsid w:val="002714F2"/>
    <w:rsid w:val="002719BF"/>
    <w:rsid w:val="00271B3A"/>
    <w:rsid w:val="00272509"/>
    <w:rsid w:val="00272A6B"/>
    <w:rsid w:val="0027369E"/>
    <w:rsid w:val="00273913"/>
    <w:rsid w:val="00273B2E"/>
    <w:rsid w:val="00273DC8"/>
    <w:rsid w:val="002747C8"/>
    <w:rsid w:val="0027500F"/>
    <w:rsid w:val="00275910"/>
    <w:rsid w:val="00275BAF"/>
    <w:rsid w:val="00275DA7"/>
    <w:rsid w:val="002760BC"/>
    <w:rsid w:val="002761B9"/>
    <w:rsid w:val="002767A4"/>
    <w:rsid w:val="00277A45"/>
    <w:rsid w:val="00280541"/>
    <w:rsid w:val="00280C6D"/>
    <w:rsid w:val="002813E0"/>
    <w:rsid w:val="002820A8"/>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902E8"/>
    <w:rsid w:val="002903A0"/>
    <w:rsid w:val="0029052D"/>
    <w:rsid w:val="00290C50"/>
    <w:rsid w:val="00290E03"/>
    <w:rsid w:val="002912DC"/>
    <w:rsid w:val="002919C0"/>
    <w:rsid w:val="00292AAD"/>
    <w:rsid w:val="00293FCA"/>
    <w:rsid w:val="0029472E"/>
    <w:rsid w:val="00294ADE"/>
    <w:rsid w:val="00294C0F"/>
    <w:rsid w:val="002950AE"/>
    <w:rsid w:val="002951B1"/>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A77"/>
    <w:rsid w:val="002B3C5B"/>
    <w:rsid w:val="002B3EAE"/>
    <w:rsid w:val="002B3FBF"/>
    <w:rsid w:val="002B41E3"/>
    <w:rsid w:val="002B45D3"/>
    <w:rsid w:val="002B4B73"/>
    <w:rsid w:val="002B4CDD"/>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4E38"/>
    <w:rsid w:val="002C5378"/>
    <w:rsid w:val="002C5408"/>
    <w:rsid w:val="002C5DD0"/>
    <w:rsid w:val="002C6B02"/>
    <w:rsid w:val="002C72E8"/>
    <w:rsid w:val="002C79F9"/>
    <w:rsid w:val="002D033E"/>
    <w:rsid w:val="002D0B9F"/>
    <w:rsid w:val="002D1203"/>
    <w:rsid w:val="002D1DF8"/>
    <w:rsid w:val="002D29FF"/>
    <w:rsid w:val="002D2CB4"/>
    <w:rsid w:val="002D3A32"/>
    <w:rsid w:val="002D41D0"/>
    <w:rsid w:val="002D4204"/>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4A1"/>
    <w:rsid w:val="002E4537"/>
    <w:rsid w:val="002E4546"/>
    <w:rsid w:val="002E4AD9"/>
    <w:rsid w:val="002E5425"/>
    <w:rsid w:val="002E559C"/>
    <w:rsid w:val="002E57ED"/>
    <w:rsid w:val="002E5E4B"/>
    <w:rsid w:val="002E68A2"/>
    <w:rsid w:val="002E6CF5"/>
    <w:rsid w:val="002E6D1D"/>
    <w:rsid w:val="002E6F44"/>
    <w:rsid w:val="002E76D0"/>
    <w:rsid w:val="002E7710"/>
    <w:rsid w:val="002E797B"/>
    <w:rsid w:val="002E7CB7"/>
    <w:rsid w:val="002F05E0"/>
    <w:rsid w:val="002F0A43"/>
    <w:rsid w:val="002F0CFA"/>
    <w:rsid w:val="002F0EC7"/>
    <w:rsid w:val="002F142D"/>
    <w:rsid w:val="002F14BA"/>
    <w:rsid w:val="002F172F"/>
    <w:rsid w:val="002F17DE"/>
    <w:rsid w:val="002F1FA6"/>
    <w:rsid w:val="002F2537"/>
    <w:rsid w:val="002F2E86"/>
    <w:rsid w:val="002F3C9F"/>
    <w:rsid w:val="002F3E6E"/>
    <w:rsid w:val="002F3F11"/>
    <w:rsid w:val="002F3FDE"/>
    <w:rsid w:val="002F4790"/>
    <w:rsid w:val="002F5311"/>
    <w:rsid w:val="002F67B0"/>
    <w:rsid w:val="002F6E67"/>
    <w:rsid w:val="002F6FD4"/>
    <w:rsid w:val="002F7661"/>
    <w:rsid w:val="002F77BC"/>
    <w:rsid w:val="002F79C2"/>
    <w:rsid w:val="002F7BDC"/>
    <w:rsid w:val="002F7C01"/>
    <w:rsid w:val="002F7C4F"/>
    <w:rsid w:val="003009B7"/>
    <w:rsid w:val="00301321"/>
    <w:rsid w:val="00301B21"/>
    <w:rsid w:val="0030208B"/>
    <w:rsid w:val="0030222C"/>
    <w:rsid w:val="003023D8"/>
    <w:rsid w:val="00302738"/>
    <w:rsid w:val="00304010"/>
    <w:rsid w:val="00304789"/>
    <w:rsid w:val="003050B8"/>
    <w:rsid w:val="003052CB"/>
    <w:rsid w:val="003055C5"/>
    <w:rsid w:val="00305B7D"/>
    <w:rsid w:val="00305BFC"/>
    <w:rsid w:val="00306184"/>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3DA"/>
    <w:rsid w:val="003224D5"/>
    <w:rsid w:val="00322B6C"/>
    <w:rsid w:val="00322F80"/>
    <w:rsid w:val="0032332B"/>
    <w:rsid w:val="003233E7"/>
    <w:rsid w:val="003247E8"/>
    <w:rsid w:val="0032562C"/>
    <w:rsid w:val="003259E9"/>
    <w:rsid w:val="00325E01"/>
    <w:rsid w:val="00326515"/>
    <w:rsid w:val="003272F9"/>
    <w:rsid w:val="00327F0F"/>
    <w:rsid w:val="00330ACC"/>
    <w:rsid w:val="00331D39"/>
    <w:rsid w:val="00331F4C"/>
    <w:rsid w:val="00332028"/>
    <w:rsid w:val="00332326"/>
    <w:rsid w:val="00332581"/>
    <w:rsid w:val="00332784"/>
    <w:rsid w:val="00332A1E"/>
    <w:rsid w:val="00332AC5"/>
    <w:rsid w:val="00332B1F"/>
    <w:rsid w:val="00333075"/>
    <w:rsid w:val="00333DCD"/>
    <w:rsid w:val="00334063"/>
    <w:rsid w:val="003348BE"/>
    <w:rsid w:val="00334A60"/>
    <w:rsid w:val="003352E7"/>
    <w:rsid w:val="00336237"/>
    <w:rsid w:val="00340262"/>
    <w:rsid w:val="00340280"/>
    <w:rsid w:val="003418D1"/>
    <w:rsid w:val="00342B1D"/>
    <w:rsid w:val="00342FA7"/>
    <w:rsid w:val="0034394F"/>
    <w:rsid w:val="00344D31"/>
    <w:rsid w:val="003450B0"/>
    <w:rsid w:val="00345628"/>
    <w:rsid w:val="003458FC"/>
    <w:rsid w:val="00345BA9"/>
    <w:rsid w:val="00346513"/>
    <w:rsid w:val="003468B0"/>
    <w:rsid w:val="003469D4"/>
    <w:rsid w:val="00346C51"/>
    <w:rsid w:val="0035092B"/>
    <w:rsid w:val="00350A5E"/>
    <w:rsid w:val="003518E7"/>
    <w:rsid w:val="003519B3"/>
    <w:rsid w:val="00351A23"/>
    <w:rsid w:val="003522E3"/>
    <w:rsid w:val="00352342"/>
    <w:rsid w:val="00352497"/>
    <w:rsid w:val="00352988"/>
    <w:rsid w:val="003533DD"/>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719B"/>
    <w:rsid w:val="00370025"/>
    <w:rsid w:val="00370713"/>
    <w:rsid w:val="00370B9F"/>
    <w:rsid w:val="0037208E"/>
    <w:rsid w:val="0037243F"/>
    <w:rsid w:val="00372D88"/>
    <w:rsid w:val="003736E4"/>
    <w:rsid w:val="0037399D"/>
    <w:rsid w:val="00373C98"/>
    <w:rsid w:val="0037495E"/>
    <w:rsid w:val="003751AF"/>
    <w:rsid w:val="00375295"/>
    <w:rsid w:val="003755DF"/>
    <w:rsid w:val="00376599"/>
    <w:rsid w:val="003766B3"/>
    <w:rsid w:val="003766D0"/>
    <w:rsid w:val="00377012"/>
    <w:rsid w:val="00377EBF"/>
    <w:rsid w:val="00381AFE"/>
    <w:rsid w:val="00381BCC"/>
    <w:rsid w:val="00381E0C"/>
    <w:rsid w:val="003822B9"/>
    <w:rsid w:val="0038251D"/>
    <w:rsid w:val="0038276C"/>
    <w:rsid w:val="003835C7"/>
    <w:rsid w:val="003841E3"/>
    <w:rsid w:val="003843EE"/>
    <w:rsid w:val="003857BB"/>
    <w:rsid w:val="00385841"/>
    <w:rsid w:val="00385AA5"/>
    <w:rsid w:val="00387451"/>
    <w:rsid w:val="003875B3"/>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334F"/>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DCC"/>
    <w:rsid w:val="003F48AD"/>
    <w:rsid w:val="003F4E4B"/>
    <w:rsid w:val="003F53FA"/>
    <w:rsid w:val="003F562A"/>
    <w:rsid w:val="003F5EE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CE"/>
    <w:rsid w:val="00410FC8"/>
    <w:rsid w:val="00411379"/>
    <w:rsid w:val="004119CA"/>
    <w:rsid w:val="0041237B"/>
    <w:rsid w:val="004128C8"/>
    <w:rsid w:val="00413274"/>
    <w:rsid w:val="00413E18"/>
    <w:rsid w:val="004143B6"/>
    <w:rsid w:val="00414A06"/>
    <w:rsid w:val="00415461"/>
    <w:rsid w:val="00416807"/>
    <w:rsid w:val="00416D55"/>
    <w:rsid w:val="00416F75"/>
    <w:rsid w:val="00416FDB"/>
    <w:rsid w:val="0041785F"/>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BF2"/>
    <w:rsid w:val="00426E4F"/>
    <w:rsid w:val="0042754E"/>
    <w:rsid w:val="004305DC"/>
    <w:rsid w:val="00431723"/>
    <w:rsid w:val="00431DF0"/>
    <w:rsid w:val="004320F4"/>
    <w:rsid w:val="00432492"/>
    <w:rsid w:val="004325D1"/>
    <w:rsid w:val="0043282A"/>
    <w:rsid w:val="00432C4D"/>
    <w:rsid w:val="00432C64"/>
    <w:rsid w:val="00432FCA"/>
    <w:rsid w:val="0043377A"/>
    <w:rsid w:val="00433D99"/>
    <w:rsid w:val="00434969"/>
    <w:rsid w:val="00434E35"/>
    <w:rsid w:val="00435247"/>
    <w:rsid w:val="00435313"/>
    <w:rsid w:val="00435F4E"/>
    <w:rsid w:val="00436131"/>
    <w:rsid w:val="00436A58"/>
    <w:rsid w:val="004371A4"/>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EF6"/>
    <w:rsid w:val="0045083C"/>
    <w:rsid w:val="00450B6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D"/>
    <w:rsid w:val="004745D9"/>
    <w:rsid w:val="004746DA"/>
    <w:rsid w:val="00474B2B"/>
    <w:rsid w:val="00474CCE"/>
    <w:rsid w:val="00475210"/>
    <w:rsid w:val="004753CA"/>
    <w:rsid w:val="00475F9B"/>
    <w:rsid w:val="004760F0"/>
    <w:rsid w:val="004764E2"/>
    <w:rsid w:val="00476782"/>
    <w:rsid w:val="004778D4"/>
    <w:rsid w:val="004803A7"/>
    <w:rsid w:val="00481364"/>
    <w:rsid w:val="00481402"/>
    <w:rsid w:val="0048162F"/>
    <w:rsid w:val="00481DED"/>
    <w:rsid w:val="00481F0C"/>
    <w:rsid w:val="00482E00"/>
    <w:rsid w:val="0048335F"/>
    <w:rsid w:val="00483574"/>
    <w:rsid w:val="00484784"/>
    <w:rsid w:val="0048488A"/>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7CF"/>
    <w:rsid w:val="004A6A46"/>
    <w:rsid w:val="004A6D7F"/>
    <w:rsid w:val="004A6FFE"/>
    <w:rsid w:val="004A72EC"/>
    <w:rsid w:val="004A78ED"/>
    <w:rsid w:val="004A7C96"/>
    <w:rsid w:val="004A7D1D"/>
    <w:rsid w:val="004B0199"/>
    <w:rsid w:val="004B0453"/>
    <w:rsid w:val="004B0E2D"/>
    <w:rsid w:val="004B1238"/>
    <w:rsid w:val="004B2A8A"/>
    <w:rsid w:val="004B2B9A"/>
    <w:rsid w:val="004B2C99"/>
    <w:rsid w:val="004B31FC"/>
    <w:rsid w:val="004B32AB"/>
    <w:rsid w:val="004B3A42"/>
    <w:rsid w:val="004B3B4A"/>
    <w:rsid w:val="004B42CC"/>
    <w:rsid w:val="004B47B1"/>
    <w:rsid w:val="004B537C"/>
    <w:rsid w:val="004B597E"/>
    <w:rsid w:val="004B5A73"/>
    <w:rsid w:val="004B5CFD"/>
    <w:rsid w:val="004B755B"/>
    <w:rsid w:val="004B7C01"/>
    <w:rsid w:val="004B7E7A"/>
    <w:rsid w:val="004C0B5E"/>
    <w:rsid w:val="004C1277"/>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864"/>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74F"/>
    <w:rsid w:val="004D3890"/>
    <w:rsid w:val="004D41BC"/>
    <w:rsid w:val="004D436D"/>
    <w:rsid w:val="004D48B0"/>
    <w:rsid w:val="004D4E86"/>
    <w:rsid w:val="004D5917"/>
    <w:rsid w:val="004D5D61"/>
    <w:rsid w:val="004D64FD"/>
    <w:rsid w:val="004D6B28"/>
    <w:rsid w:val="004D6C05"/>
    <w:rsid w:val="004D6DEC"/>
    <w:rsid w:val="004D7645"/>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75DF"/>
    <w:rsid w:val="004E7845"/>
    <w:rsid w:val="004E7E05"/>
    <w:rsid w:val="004F0696"/>
    <w:rsid w:val="004F071D"/>
    <w:rsid w:val="004F0BEA"/>
    <w:rsid w:val="004F0C44"/>
    <w:rsid w:val="004F24C6"/>
    <w:rsid w:val="004F2E4A"/>
    <w:rsid w:val="004F2F6C"/>
    <w:rsid w:val="004F3150"/>
    <w:rsid w:val="004F382F"/>
    <w:rsid w:val="004F422B"/>
    <w:rsid w:val="004F4493"/>
    <w:rsid w:val="004F461C"/>
    <w:rsid w:val="004F4D70"/>
    <w:rsid w:val="004F509B"/>
    <w:rsid w:val="004F5147"/>
    <w:rsid w:val="004F577B"/>
    <w:rsid w:val="004F59EC"/>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FB3"/>
    <w:rsid w:val="00502055"/>
    <w:rsid w:val="00502746"/>
    <w:rsid w:val="00502C08"/>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1EDA"/>
    <w:rsid w:val="005121CB"/>
    <w:rsid w:val="00512781"/>
    <w:rsid w:val="00512891"/>
    <w:rsid w:val="00512AF2"/>
    <w:rsid w:val="00512D16"/>
    <w:rsid w:val="005131E6"/>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3FB"/>
    <w:rsid w:val="00522901"/>
    <w:rsid w:val="00522B16"/>
    <w:rsid w:val="00522C0F"/>
    <w:rsid w:val="00522C2F"/>
    <w:rsid w:val="00522DA3"/>
    <w:rsid w:val="00523BEA"/>
    <w:rsid w:val="00523C4F"/>
    <w:rsid w:val="00523D11"/>
    <w:rsid w:val="00523F48"/>
    <w:rsid w:val="00524026"/>
    <w:rsid w:val="00524709"/>
    <w:rsid w:val="0052485A"/>
    <w:rsid w:val="00524DCA"/>
    <w:rsid w:val="00524FEC"/>
    <w:rsid w:val="00525AD8"/>
    <w:rsid w:val="005260A5"/>
    <w:rsid w:val="005261FF"/>
    <w:rsid w:val="0052643F"/>
    <w:rsid w:val="0052682F"/>
    <w:rsid w:val="005268D3"/>
    <w:rsid w:val="0052722F"/>
    <w:rsid w:val="00527495"/>
    <w:rsid w:val="005275A9"/>
    <w:rsid w:val="005278A8"/>
    <w:rsid w:val="00530143"/>
    <w:rsid w:val="005307A4"/>
    <w:rsid w:val="00530C12"/>
    <w:rsid w:val="00530E26"/>
    <w:rsid w:val="0053103C"/>
    <w:rsid w:val="00531E15"/>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93C"/>
    <w:rsid w:val="00550462"/>
    <w:rsid w:val="005511EB"/>
    <w:rsid w:val="00551221"/>
    <w:rsid w:val="005515F2"/>
    <w:rsid w:val="0055161F"/>
    <w:rsid w:val="00551C09"/>
    <w:rsid w:val="00551C55"/>
    <w:rsid w:val="00551C9D"/>
    <w:rsid w:val="00552C10"/>
    <w:rsid w:val="005537FA"/>
    <w:rsid w:val="00553D12"/>
    <w:rsid w:val="00554DDE"/>
    <w:rsid w:val="00554F81"/>
    <w:rsid w:val="00555102"/>
    <w:rsid w:val="00555553"/>
    <w:rsid w:val="0055563E"/>
    <w:rsid w:val="00555672"/>
    <w:rsid w:val="00555D9D"/>
    <w:rsid w:val="0055605E"/>
    <w:rsid w:val="005560D0"/>
    <w:rsid w:val="00556140"/>
    <w:rsid w:val="005561A8"/>
    <w:rsid w:val="0055646E"/>
    <w:rsid w:val="00556706"/>
    <w:rsid w:val="00556EBD"/>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4142"/>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89"/>
    <w:rsid w:val="00580E94"/>
    <w:rsid w:val="005813E5"/>
    <w:rsid w:val="005814B8"/>
    <w:rsid w:val="00581BDD"/>
    <w:rsid w:val="005827A4"/>
    <w:rsid w:val="0058377C"/>
    <w:rsid w:val="005838D0"/>
    <w:rsid w:val="00583BB7"/>
    <w:rsid w:val="005841E2"/>
    <w:rsid w:val="0058433F"/>
    <w:rsid w:val="005844AD"/>
    <w:rsid w:val="00585342"/>
    <w:rsid w:val="00585562"/>
    <w:rsid w:val="00585F5B"/>
    <w:rsid w:val="00586335"/>
    <w:rsid w:val="005865A7"/>
    <w:rsid w:val="005866CC"/>
    <w:rsid w:val="00586984"/>
    <w:rsid w:val="00586C27"/>
    <w:rsid w:val="00586D5A"/>
    <w:rsid w:val="005870A9"/>
    <w:rsid w:val="00587635"/>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4286"/>
    <w:rsid w:val="005A428D"/>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3C81"/>
    <w:rsid w:val="005B421F"/>
    <w:rsid w:val="005B42B8"/>
    <w:rsid w:val="005B4859"/>
    <w:rsid w:val="005B53D8"/>
    <w:rsid w:val="005B5AF2"/>
    <w:rsid w:val="005B6528"/>
    <w:rsid w:val="005B653A"/>
    <w:rsid w:val="005B66C8"/>
    <w:rsid w:val="005B6776"/>
    <w:rsid w:val="005B679D"/>
    <w:rsid w:val="005B6EE9"/>
    <w:rsid w:val="005B7224"/>
    <w:rsid w:val="005B79A2"/>
    <w:rsid w:val="005C0589"/>
    <w:rsid w:val="005C0B44"/>
    <w:rsid w:val="005C100B"/>
    <w:rsid w:val="005C19A9"/>
    <w:rsid w:val="005C1BE0"/>
    <w:rsid w:val="005C1E5A"/>
    <w:rsid w:val="005C2C8E"/>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99B"/>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FB9"/>
    <w:rsid w:val="005D7045"/>
    <w:rsid w:val="005D73C1"/>
    <w:rsid w:val="005D7773"/>
    <w:rsid w:val="005E13E9"/>
    <w:rsid w:val="005E1CAE"/>
    <w:rsid w:val="005E1EFC"/>
    <w:rsid w:val="005E1FDD"/>
    <w:rsid w:val="005E21AF"/>
    <w:rsid w:val="005E2641"/>
    <w:rsid w:val="005E26D5"/>
    <w:rsid w:val="005E2934"/>
    <w:rsid w:val="005E2A4C"/>
    <w:rsid w:val="005E2A84"/>
    <w:rsid w:val="005E2EAC"/>
    <w:rsid w:val="005E3595"/>
    <w:rsid w:val="005E3996"/>
    <w:rsid w:val="005E3AF9"/>
    <w:rsid w:val="005E3B2F"/>
    <w:rsid w:val="005E481E"/>
    <w:rsid w:val="005E4917"/>
    <w:rsid w:val="005E517C"/>
    <w:rsid w:val="005E54C4"/>
    <w:rsid w:val="005E5856"/>
    <w:rsid w:val="005E5CDD"/>
    <w:rsid w:val="005E706E"/>
    <w:rsid w:val="005F0A89"/>
    <w:rsid w:val="005F1564"/>
    <w:rsid w:val="005F19A8"/>
    <w:rsid w:val="005F2059"/>
    <w:rsid w:val="005F316E"/>
    <w:rsid w:val="005F36B3"/>
    <w:rsid w:val="005F3B54"/>
    <w:rsid w:val="005F3C0D"/>
    <w:rsid w:val="005F5614"/>
    <w:rsid w:val="005F56C4"/>
    <w:rsid w:val="005F64EC"/>
    <w:rsid w:val="005F774A"/>
    <w:rsid w:val="005F77AB"/>
    <w:rsid w:val="00601621"/>
    <w:rsid w:val="00602099"/>
    <w:rsid w:val="0060210C"/>
    <w:rsid w:val="00602853"/>
    <w:rsid w:val="00602FE2"/>
    <w:rsid w:val="00603B42"/>
    <w:rsid w:val="00604C3E"/>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52E5"/>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0CE"/>
    <w:rsid w:val="00633652"/>
    <w:rsid w:val="006343EE"/>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5A0"/>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156"/>
    <w:rsid w:val="00663916"/>
    <w:rsid w:val="00663A9D"/>
    <w:rsid w:val="00664655"/>
    <w:rsid w:val="006647B8"/>
    <w:rsid w:val="00664DAA"/>
    <w:rsid w:val="006652FC"/>
    <w:rsid w:val="00665C1A"/>
    <w:rsid w:val="006667D5"/>
    <w:rsid w:val="00666D25"/>
    <w:rsid w:val="006673DA"/>
    <w:rsid w:val="00670741"/>
    <w:rsid w:val="00670EAE"/>
    <w:rsid w:val="00670EF8"/>
    <w:rsid w:val="00670FCD"/>
    <w:rsid w:val="00671690"/>
    <w:rsid w:val="00671813"/>
    <w:rsid w:val="00671C4A"/>
    <w:rsid w:val="00672E76"/>
    <w:rsid w:val="006736A4"/>
    <w:rsid w:val="00673826"/>
    <w:rsid w:val="00674740"/>
    <w:rsid w:val="006748A0"/>
    <w:rsid w:val="0067508B"/>
    <w:rsid w:val="00675192"/>
    <w:rsid w:val="006753C1"/>
    <w:rsid w:val="006755A6"/>
    <w:rsid w:val="00675A30"/>
    <w:rsid w:val="00675AD1"/>
    <w:rsid w:val="0067630E"/>
    <w:rsid w:val="00676EDC"/>
    <w:rsid w:val="00677270"/>
    <w:rsid w:val="00677471"/>
    <w:rsid w:val="00677764"/>
    <w:rsid w:val="00677EF6"/>
    <w:rsid w:val="00681D1B"/>
    <w:rsid w:val="00681E82"/>
    <w:rsid w:val="00682735"/>
    <w:rsid w:val="006827A6"/>
    <w:rsid w:val="006839A6"/>
    <w:rsid w:val="006839D6"/>
    <w:rsid w:val="006840BB"/>
    <w:rsid w:val="00685396"/>
    <w:rsid w:val="00685F62"/>
    <w:rsid w:val="0068728A"/>
    <w:rsid w:val="0068732F"/>
    <w:rsid w:val="00687373"/>
    <w:rsid w:val="00687D66"/>
    <w:rsid w:val="00690099"/>
    <w:rsid w:val="00691957"/>
    <w:rsid w:val="0069247A"/>
    <w:rsid w:val="006924A2"/>
    <w:rsid w:val="006932D5"/>
    <w:rsid w:val="0069389C"/>
    <w:rsid w:val="006940AF"/>
    <w:rsid w:val="0069429F"/>
    <w:rsid w:val="00694764"/>
    <w:rsid w:val="00694BD1"/>
    <w:rsid w:val="0069512C"/>
    <w:rsid w:val="00695539"/>
    <w:rsid w:val="00695B9E"/>
    <w:rsid w:val="0069735F"/>
    <w:rsid w:val="006A0C1A"/>
    <w:rsid w:val="006A0DCC"/>
    <w:rsid w:val="006A0E6C"/>
    <w:rsid w:val="006A1709"/>
    <w:rsid w:val="006A1DD4"/>
    <w:rsid w:val="006A30E0"/>
    <w:rsid w:val="006A3229"/>
    <w:rsid w:val="006A346B"/>
    <w:rsid w:val="006A3979"/>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225B"/>
    <w:rsid w:val="006C2AA1"/>
    <w:rsid w:val="006C2C09"/>
    <w:rsid w:val="006C2D73"/>
    <w:rsid w:val="006C3A07"/>
    <w:rsid w:val="006C3FFE"/>
    <w:rsid w:val="006C41BE"/>
    <w:rsid w:val="006C43DA"/>
    <w:rsid w:val="006C4635"/>
    <w:rsid w:val="006C5292"/>
    <w:rsid w:val="006C570D"/>
    <w:rsid w:val="006C579E"/>
    <w:rsid w:val="006C5D24"/>
    <w:rsid w:val="006C6F0F"/>
    <w:rsid w:val="006C7377"/>
    <w:rsid w:val="006C7581"/>
    <w:rsid w:val="006C7A83"/>
    <w:rsid w:val="006C7DCF"/>
    <w:rsid w:val="006C7DF1"/>
    <w:rsid w:val="006D093A"/>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0BB1"/>
    <w:rsid w:val="006E15DC"/>
    <w:rsid w:val="006E1722"/>
    <w:rsid w:val="006E20B3"/>
    <w:rsid w:val="006E2423"/>
    <w:rsid w:val="006E285B"/>
    <w:rsid w:val="006E3889"/>
    <w:rsid w:val="006E3DC4"/>
    <w:rsid w:val="006E5C5A"/>
    <w:rsid w:val="006E60EE"/>
    <w:rsid w:val="006E6328"/>
    <w:rsid w:val="006E712E"/>
    <w:rsid w:val="006E7404"/>
    <w:rsid w:val="006E752E"/>
    <w:rsid w:val="006E76DC"/>
    <w:rsid w:val="006E7834"/>
    <w:rsid w:val="006E7996"/>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1D0"/>
    <w:rsid w:val="0070027C"/>
    <w:rsid w:val="007005E0"/>
    <w:rsid w:val="00700899"/>
    <w:rsid w:val="00700D96"/>
    <w:rsid w:val="00701C41"/>
    <w:rsid w:val="00701C8C"/>
    <w:rsid w:val="00702416"/>
    <w:rsid w:val="00702E18"/>
    <w:rsid w:val="00702F91"/>
    <w:rsid w:val="00704146"/>
    <w:rsid w:val="00704CBE"/>
    <w:rsid w:val="00704ED1"/>
    <w:rsid w:val="00704F53"/>
    <w:rsid w:val="00705FA2"/>
    <w:rsid w:val="007063FA"/>
    <w:rsid w:val="007066FF"/>
    <w:rsid w:val="00706B45"/>
    <w:rsid w:val="00707431"/>
    <w:rsid w:val="00707A4E"/>
    <w:rsid w:val="00707C9A"/>
    <w:rsid w:val="00707D0A"/>
    <w:rsid w:val="00710D22"/>
    <w:rsid w:val="00710E8A"/>
    <w:rsid w:val="00711020"/>
    <w:rsid w:val="0071104F"/>
    <w:rsid w:val="007115C9"/>
    <w:rsid w:val="007117A3"/>
    <w:rsid w:val="00711DB3"/>
    <w:rsid w:val="00712265"/>
    <w:rsid w:val="007127A5"/>
    <w:rsid w:val="0071357D"/>
    <w:rsid w:val="0071378A"/>
    <w:rsid w:val="00713A02"/>
    <w:rsid w:val="0071449D"/>
    <w:rsid w:val="007147B5"/>
    <w:rsid w:val="00714C59"/>
    <w:rsid w:val="00715BCB"/>
    <w:rsid w:val="00715C20"/>
    <w:rsid w:val="00715DCC"/>
    <w:rsid w:val="00715E0E"/>
    <w:rsid w:val="00716AF3"/>
    <w:rsid w:val="00716B9E"/>
    <w:rsid w:val="00716BC4"/>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30257"/>
    <w:rsid w:val="00730DE7"/>
    <w:rsid w:val="00731262"/>
    <w:rsid w:val="00731582"/>
    <w:rsid w:val="00731816"/>
    <w:rsid w:val="00731F29"/>
    <w:rsid w:val="00732A15"/>
    <w:rsid w:val="0073322C"/>
    <w:rsid w:val="0073334D"/>
    <w:rsid w:val="00733E90"/>
    <w:rsid w:val="0073406C"/>
    <w:rsid w:val="00734195"/>
    <w:rsid w:val="00734281"/>
    <w:rsid w:val="007345F0"/>
    <w:rsid w:val="00734783"/>
    <w:rsid w:val="007354F2"/>
    <w:rsid w:val="00735A5A"/>
    <w:rsid w:val="00735CB2"/>
    <w:rsid w:val="00735FE3"/>
    <w:rsid w:val="00736333"/>
    <w:rsid w:val="00736A70"/>
    <w:rsid w:val="00736B8A"/>
    <w:rsid w:val="00736BBA"/>
    <w:rsid w:val="00737481"/>
    <w:rsid w:val="00737705"/>
    <w:rsid w:val="00740114"/>
    <w:rsid w:val="007410A2"/>
    <w:rsid w:val="007413C4"/>
    <w:rsid w:val="00741FC1"/>
    <w:rsid w:val="0074208D"/>
    <w:rsid w:val="00742560"/>
    <w:rsid w:val="0074334C"/>
    <w:rsid w:val="00743847"/>
    <w:rsid w:val="0074423B"/>
    <w:rsid w:val="007442CD"/>
    <w:rsid w:val="0074480F"/>
    <w:rsid w:val="00744F1E"/>
    <w:rsid w:val="007450C2"/>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4141"/>
    <w:rsid w:val="007543EF"/>
    <w:rsid w:val="0075455D"/>
    <w:rsid w:val="00754B95"/>
    <w:rsid w:val="007551C6"/>
    <w:rsid w:val="0075684E"/>
    <w:rsid w:val="00756BCD"/>
    <w:rsid w:val="00757313"/>
    <w:rsid w:val="007577BF"/>
    <w:rsid w:val="0076071B"/>
    <w:rsid w:val="00760F86"/>
    <w:rsid w:val="00761208"/>
    <w:rsid w:val="00761563"/>
    <w:rsid w:val="00761B0F"/>
    <w:rsid w:val="00762036"/>
    <w:rsid w:val="00762058"/>
    <w:rsid w:val="00762346"/>
    <w:rsid w:val="007625C4"/>
    <w:rsid w:val="00762B45"/>
    <w:rsid w:val="007630E4"/>
    <w:rsid w:val="00763234"/>
    <w:rsid w:val="007634F0"/>
    <w:rsid w:val="00763A1A"/>
    <w:rsid w:val="00764CA6"/>
    <w:rsid w:val="0076561B"/>
    <w:rsid w:val="007658FF"/>
    <w:rsid w:val="00766684"/>
    <w:rsid w:val="00766893"/>
    <w:rsid w:val="00766C20"/>
    <w:rsid w:val="00766F1F"/>
    <w:rsid w:val="00767A1C"/>
    <w:rsid w:val="00767A23"/>
    <w:rsid w:val="00767C67"/>
    <w:rsid w:val="00767CA0"/>
    <w:rsid w:val="00767ED8"/>
    <w:rsid w:val="007705CA"/>
    <w:rsid w:val="00770789"/>
    <w:rsid w:val="00770A69"/>
    <w:rsid w:val="00771307"/>
    <w:rsid w:val="00771851"/>
    <w:rsid w:val="00771EC8"/>
    <w:rsid w:val="0077262E"/>
    <w:rsid w:val="007728E8"/>
    <w:rsid w:val="00772B00"/>
    <w:rsid w:val="00772E83"/>
    <w:rsid w:val="00772ECF"/>
    <w:rsid w:val="0077344A"/>
    <w:rsid w:val="007737D7"/>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9018E"/>
    <w:rsid w:val="007909C2"/>
    <w:rsid w:val="00790BCF"/>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5F3A"/>
    <w:rsid w:val="00796B47"/>
    <w:rsid w:val="007975EA"/>
    <w:rsid w:val="00797FDC"/>
    <w:rsid w:val="007A00D3"/>
    <w:rsid w:val="007A0CCD"/>
    <w:rsid w:val="007A1399"/>
    <w:rsid w:val="007A1B0A"/>
    <w:rsid w:val="007A1C12"/>
    <w:rsid w:val="007A1DA9"/>
    <w:rsid w:val="007A1F15"/>
    <w:rsid w:val="007A23BF"/>
    <w:rsid w:val="007A2719"/>
    <w:rsid w:val="007A285C"/>
    <w:rsid w:val="007A2A46"/>
    <w:rsid w:val="007A2CC7"/>
    <w:rsid w:val="007A37B0"/>
    <w:rsid w:val="007A3CF7"/>
    <w:rsid w:val="007A41EE"/>
    <w:rsid w:val="007A5548"/>
    <w:rsid w:val="007A57FB"/>
    <w:rsid w:val="007A5D3F"/>
    <w:rsid w:val="007A6669"/>
    <w:rsid w:val="007A6C5C"/>
    <w:rsid w:val="007A740F"/>
    <w:rsid w:val="007A746C"/>
    <w:rsid w:val="007A757C"/>
    <w:rsid w:val="007A7929"/>
    <w:rsid w:val="007A79F4"/>
    <w:rsid w:val="007A7DB9"/>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99B"/>
    <w:rsid w:val="007E2D23"/>
    <w:rsid w:val="007E2E93"/>
    <w:rsid w:val="007E3301"/>
    <w:rsid w:val="007E3AA9"/>
    <w:rsid w:val="007E44E3"/>
    <w:rsid w:val="007E4577"/>
    <w:rsid w:val="007E467D"/>
    <w:rsid w:val="007E4EA7"/>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540A"/>
    <w:rsid w:val="007F54FD"/>
    <w:rsid w:val="007F55D8"/>
    <w:rsid w:val="007F57DC"/>
    <w:rsid w:val="007F5A1C"/>
    <w:rsid w:val="007F5EBD"/>
    <w:rsid w:val="007F6AC6"/>
    <w:rsid w:val="007F6DF3"/>
    <w:rsid w:val="007F719E"/>
    <w:rsid w:val="007F7354"/>
    <w:rsid w:val="007F7C47"/>
    <w:rsid w:val="00800074"/>
    <w:rsid w:val="008001A2"/>
    <w:rsid w:val="00800892"/>
    <w:rsid w:val="00800C07"/>
    <w:rsid w:val="008017FD"/>
    <w:rsid w:val="00801C58"/>
    <w:rsid w:val="00801D66"/>
    <w:rsid w:val="00801DAC"/>
    <w:rsid w:val="0080266A"/>
    <w:rsid w:val="008027CF"/>
    <w:rsid w:val="00802E1E"/>
    <w:rsid w:val="0080382A"/>
    <w:rsid w:val="0080411A"/>
    <w:rsid w:val="0080447C"/>
    <w:rsid w:val="008045F3"/>
    <w:rsid w:val="008052C3"/>
    <w:rsid w:val="00805516"/>
    <w:rsid w:val="008057DD"/>
    <w:rsid w:val="008057F6"/>
    <w:rsid w:val="00805DFD"/>
    <w:rsid w:val="00805E6C"/>
    <w:rsid w:val="0080618F"/>
    <w:rsid w:val="00807135"/>
    <w:rsid w:val="00807306"/>
    <w:rsid w:val="008078E8"/>
    <w:rsid w:val="00807C7B"/>
    <w:rsid w:val="00807CC3"/>
    <w:rsid w:val="008103AC"/>
    <w:rsid w:val="00810606"/>
    <w:rsid w:val="00810FCB"/>
    <w:rsid w:val="00811515"/>
    <w:rsid w:val="00811AD4"/>
    <w:rsid w:val="00811BD9"/>
    <w:rsid w:val="00812394"/>
    <w:rsid w:val="00812647"/>
    <w:rsid w:val="008129CB"/>
    <w:rsid w:val="0081362A"/>
    <w:rsid w:val="00813C59"/>
    <w:rsid w:val="00813EF0"/>
    <w:rsid w:val="00813F71"/>
    <w:rsid w:val="008140EC"/>
    <w:rsid w:val="0081562D"/>
    <w:rsid w:val="008159BF"/>
    <w:rsid w:val="00815F5D"/>
    <w:rsid w:val="008174E0"/>
    <w:rsid w:val="0082033B"/>
    <w:rsid w:val="00820BB9"/>
    <w:rsid w:val="0082143F"/>
    <w:rsid w:val="00822161"/>
    <w:rsid w:val="00822F3D"/>
    <w:rsid w:val="00822F70"/>
    <w:rsid w:val="0082311E"/>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470"/>
    <w:rsid w:val="0082682C"/>
    <w:rsid w:val="00826DD2"/>
    <w:rsid w:val="0082716D"/>
    <w:rsid w:val="008272B5"/>
    <w:rsid w:val="00827BDF"/>
    <w:rsid w:val="00827BF8"/>
    <w:rsid w:val="00827CAB"/>
    <w:rsid w:val="0083015E"/>
    <w:rsid w:val="00830A82"/>
    <w:rsid w:val="00830CEA"/>
    <w:rsid w:val="00830E2B"/>
    <w:rsid w:val="00830EA4"/>
    <w:rsid w:val="0083154C"/>
    <w:rsid w:val="00831B61"/>
    <w:rsid w:val="00831BAF"/>
    <w:rsid w:val="00831EBB"/>
    <w:rsid w:val="0083245F"/>
    <w:rsid w:val="008329E8"/>
    <w:rsid w:val="00832F93"/>
    <w:rsid w:val="008330EB"/>
    <w:rsid w:val="00833B4A"/>
    <w:rsid w:val="00833D7E"/>
    <w:rsid w:val="008341FA"/>
    <w:rsid w:val="00834A57"/>
    <w:rsid w:val="0083550F"/>
    <w:rsid w:val="00835A98"/>
    <w:rsid w:val="00835C07"/>
    <w:rsid w:val="00835C9A"/>
    <w:rsid w:val="008362CE"/>
    <w:rsid w:val="00836A10"/>
    <w:rsid w:val="00837386"/>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EAF"/>
    <w:rsid w:val="00854425"/>
    <w:rsid w:val="008544B6"/>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1CEE"/>
    <w:rsid w:val="00862165"/>
    <w:rsid w:val="00862A4D"/>
    <w:rsid w:val="00862E11"/>
    <w:rsid w:val="0086330A"/>
    <w:rsid w:val="00863C05"/>
    <w:rsid w:val="00864C91"/>
    <w:rsid w:val="008656E3"/>
    <w:rsid w:val="008658CB"/>
    <w:rsid w:val="00866BFF"/>
    <w:rsid w:val="00867199"/>
    <w:rsid w:val="008678F1"/>
    <w:rsid w:val="00867D48"/>
    <w:rsid w:val="008707F9"/>
    <w:rsid w:val="008711DE"/>
    <w:rsid w:val="008712BA"/>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14F5"/>
    <w:rsid w:val="00881582"/>
    <w:rsid w:val="00881CE7"/>
    <w:rsid w:val="00881FB3"/>
    <w:rsid w:val="0088346A"/>
    <w:rsid w:val="0088402F"/>
    <w:rsid w:val="00884CB1"/>
    <w:rsid w:val="00885413"/>
    <w:rsid w:val="008857CB"/>
    <w:rsid w:val="008859D2"/>
    <w:rsid w:val="008864D9"/>
    <w:rsid w:val="008873FE"/>
    <w:rsid w:val="00887731"/>
    <w:rsid w:val="00887AB9"/>
    <w:rsid w:val="00887B2C"/>
    <w:rsid w:val="008901FA"/>
    <w:rsid w:val="00891233"/>
    <w:rsid w:val="0089128E"/>
    <w:rsid w:val="008912BF"/>
    <w:rsid w:val="00891749"/>
    <w:rsid w:val="00891DD9"/>
    <w:rsid w:val="008923B6"/>
    <w:rsid w:val="008935AE"/>
    <w:rsid w:val="00893D10"/>
    <w:rsid w:val="00893E23"/>
    <w:rsid w:val="008940E7"/>
    <w:rsid w:val="0089477C"/>
    <w:rsid w:val="00894C5E"/>
    <w:rsid w:val="0089516C"/>
    <w:rsid w:val="00896408"/>
    <w:rsid w:val="0089691E"/>
    <w:rsid w:val="00896D36"/>
    <w:rsid w:val="00897206"/>
    <w:rsid w:val="008A05ED"/>
    <w:rsid w:val="008A212A"/>
    <w:rsid w:val="008A2AA5"/>
    <w:rsid w:val="008A3111"/>
    <w:rsid w:val="008A43A0"/>
    <w:rsid w:val="008A47A4"/>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572F"/>
    <w:rsid w:val="008B6416"/>
    <w:rsid w:val="008B6615"/>
    <w:rsid w:val="008B6A3D"/>
    <w:rsid w:val="008B7CEA"/>
    <w:rsid w:val="008B7D3A"/>
    <w:rsid w:val="008B7E20"/>
    <w:rsid w:val="008C0884"/>
    <w:rsid w:val="008C0A36"/>
    <w:rsid w:val="008C0E24"/>
    <w:rsid w:val="008C15C4"/>
    <w:rsid w:val="008C1DBE"/>
    <w:rsid w:val="008C2AE5"/>
    <w:rsid w:val="008C2D2A"/>
    <w:rsid w:val="008C3380"/>
    <w:rsid w:val="008C3579"/>
    <w:rsid w:val="008C38BA"/>
    <w:rsid w:val="008C3F63"/>
    <w:rsid w:val="008C4236"/>
    <w:rsid w:val="008C43FB"/>
    <w:rsid w:val="008C5CFE"/>
    <w:rsid w:val="008C609A"/>
    <w:rsid w:val="008C67A2"/>
    <w:rsid w:val="008C6FFA"/>
    <w:rsid w:val="008C73A1"/>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C50"/>
    <w:rsid w:val="008F60A2"/>
    <w:rsid w:val="008F6113"/>
    <w:rsid w:val="008F6CF0"/>
    <w:rsid w:val="008F7B35"/>
    <w:rsid w:val="008F7E7E"/>
    <w:rsid w:val="00900044"/>
    <w:rsid w:val="0090017B"/>
    <w:rsid w:val="009008FA"/>
    <w:rsid w:val="00901A2A"/>
    <w:rsid w:val="00901BDC"/>
    <w:rsid w:val="0090290C"/>
    <w:rsid w:val="00903585"/>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8F3"/>
    <w:rsid w:val="0093175D"/>
    <w:rsid w:val="009319C8"/>
    <w:rsid w:val="00931AF4"/>
    <w:rsid w:val="00931D48"/>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E72"/>
    <w:rsid w:val="00945F9C"/>
    <w:rsid w:val="00945FFB"/>
    <w:rsid w:val="009463C1"/>
    <w:rsid w:val="00946516"/>
    <w:rsid w:val="00947206"/>
    <w:rsid w:val="00947380"/>
    <w:rsid w:val="0094745C"/>
    <w:rsid w:val="00947496"/>
    <w:rsid w:val="00947740"/>
    <w:rsid w:val="00947BDB"/>
    <w:rsid w:val="00947F93"/>
    <w:rsid w:val="00950067"/>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12DD"/>
    <w:rsid w:val="009612E6"/>
    <w:rsid w:val="0096264B"/>
    <w:rsid w:val="00962A85"/>
    <w:rsid w:val="00962C90"/>
    <w:rsid w:val="0096444A"/>
    <w:rsid w:val="00964B89"/>
    <w:rsid w:val="00964EFE"/>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848"/>
    <w:rsid w:val="00971C77"/>
    <w:rsid w:val="00971D93"/>
    <w:rsid w:val="00971F21"/>
    <w:rsid w:val="0097203A"/>
    <w:rsid w:val="00972951"/>
    <w:rsid w:val="00972C50"/>
    <w:rsid w:val="00973260"/>
    <w:rsid w:val="00973A88"/>
    <w:rsid w:val="00973AAF"/>
    <w:rsid w:val="00973D21"/>
    <w:rsid w:val="00974177"/>
    <w:rsid w:val="00974688"/>
    <w:rsid w:val="00974838"/>
    <w:rsid w:val="00974F1D"/>
    <w:rsid w:val="009759C3"/>
    <w:rsid w:val="009761E6"/>
    <w:rsid w:val="0097629E"/>
    <w:rsid w:val="00976729"/>
    <w:rsid w:val="00976D74"/>
    <w:rsid w:val="0097736A"/>
    <w:rsid w:val="00977507"/>
    <w:rsid w:val="00977C52"/>
    <w:rsid w:val="00977F6E"/>
    <w:rsid w:val="009800F4"/>
    <w:rsid w:val="00980481"/>
    <w:rsid w:val="00980F80"/>
    <w:rsid w:val="009814DB"/>
    <w:rsid w:val="00982029"/>
    <w:rsid w:val="00982659"/>
    <w:rsid w:val="00983103"/>
    <w:rsid w:val="009833D2"/>
    <w:rsid w:val="00983BEB"/>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D2E"/>
    <w:rsid w:val="009A1312"/>
    <w:rsid w:val="009A1A41"/>
    <w:rsid w:val="009A2C08"/>
    <w:rsid w:val="009A2D4A"/>
    <w:rsid w:val="009A35B7"/>
    <w:rsid w:val="009A4001"/>
    <w:rsid w:val="009A5404"/>
    <w:rsid w:val="009A65E6"/>
    <w:rsid w:val="009A6771"/>
    <w:rsid w:val="009A67C8"/>
    <w:rsid w:val="009A6A5A"/>
    <w:rsid w:val="009B1E33"/>
    <w:rsid w:val="009B2A05"/>
    <w:rsid w:val="009B3EDD"/>
    <w:rsid w:val="009B4DB2"/>
    <w:rsid w:val="009B4F67"/>
    <w:rsid w:val="009B543A"/>
    <w:rsid w:val="009B5ADB"/>
    <w:rsid w:val="009B7030"/>
    <w:rsid w:val="009B71A7"/>
    <w:rsid w:val="009B7B2C"/>
    <w:rsid w:val="009C002A"/>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4EFF"/>
    <w:rsid w:val="009C506F"/>
    <w:rsid w:val="009C5E3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796"/>
    <w:rsid w:val="009D57AC"/>
    <w:rsid w:val="009D5E5B"/>
    <w:rsid w:val="009D722C"/>
    <w:rsid w:val="009D7293"/>
    <w:rsid w:val="009D77E5"/>
    <w:rsid w:val="009D7B92"/>
    <w:rsid w:val="009D7CAC"/>
    <w:rsid w:val="009E0018"/>
    <w:rsid w:val="009E008D"/>
    <w:rsid w:val="009E0358"/>
    <w:rsid w:val="009E06ED"/>
    <w:rsid w:val="009E08E8"/>
    <w:rsid w:val="009E1489"/>
    <w:rsid w:val="009E2771"/>
    <w:rsid w:val="009E2982"/>
    <w:rsid w:val="009E2A08"/>
    <w:rsid w:val="009E2CFF"/>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19D1"/>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37E"/>
    <w:rsid w:val="00A17D96"/>
    <w:rsid w:val="00A17E4F"/>
    <w:rsid w:val="00A17EE0"/>
    <w:rsid w:val="00A20496"/>
    <w:rsid w:val="00A2118C"/>
    <w:rsid w:val="00A21570"/>
    <w:rsid w:val="00A23293"/>
    <w:rsid w:val="00A23476"/>
    <w:rsid w:val="00A235E0"/>
    <w:rsid w:val="00A23888"/>
    <w:rsid w:val="00A23D3C"/>
    <w:rsid w:val="00A24EC5"/>
    <w:rsid w:val="00A256BF"/>
    <w:rsid w:val="00A2583D"/>
    <w:rsid w:val="00A25ABD"/>
    <w:rsid w:val="00A25AF0"/>
    <w:rsid w:val="00A25B8B"/>
    <w:rsid w:val="00A26059"/>
    <w:rsid w:val="00A262F3"/>
    <w:rsid w:val="00A26438"/>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0EB6"/>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5064E"/>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A27"/>
    <w:rsid w:val="00A62A35"/>
    <w:rsid w:val="00A62B65"/>
    <w:rsid w:val="00A62D85"/>
    <w:rsid w:val="00A63793"/>
    <w:rsid w:val="00A638C3"/>
    <w:rsid w:val="00A63E9F"/>
    <w:rsid w:val="00A64083"/>
    <w:rsid w:val="00A643CE"/>
    <w:rsid w:val="00A64B10"/>
    <w:rsid w:val="00A65176"/>
    <w:rsid w:val="00A65294"/>
    <w:rsid w:val="00A652BD"/>
    <w:rsid w:val="00A6546E"/>
    <w:rsid w:val="00A66171"/>
    <w:rsid w:val="00A663E8"/>
    <w:rsid w:val="00A66EF0"/>
    <w:rsid w:val="00A671BC"/>
    <w:rsid w:val="00A67446"/>
    <w:rsid w:val="00A675A8"/>
    <w:rsid w:val="00A675FC"/>
    <w:rsid w:val="00A67DD8"/>
    <w:rsid w:val="00A7168C"/>
    <w:rsid w:val="00A716F9"/>
    <w:rsid w:val="00A71E66"/>
    <w:rsid w:val="00A721CA"/>
    <w:rsid w:val="00A7236C"/>
    <w:rsid w:val="00A726E3"/>
    <w:rsid w:val="00A72BE4"/>
    <w:rsid w:val="00A739AA"/>
    <w:rsid w:val="00A7494D"/>
    <w:rsid w:val="00A74A89"/>
    <w:rsid w:val="00A762ED"/>
    <w:rsid w:val="00A76A12"/>
    <w:rsid w:val="00A806C6"/>
    <w:rsid w:val="00A81469"/>
    <w:rsid w:val="00A8187A"/>
    <w:rsid w:val="00A82487"/>
    <w:rsid w:val="00A82B0B"/>
    <w:rsid w:val="00A82CC6"/>
    <w:rsid w:val="00A837D5"/>
    <w:rsid w:val="00A83CC2"/>
    <w:rsid w:val="00A8418D"/>
    <w:rsid w:val="00A847C7"/>
    <w:rsid w:val="00A848E5"/>
    <w:rsid w:val="00A84934"/>
    <w:rsid w:val="00A84BCB"/>
    <w:rsid w:val="00A850A4"/>
    <w:rsid w:val="00A850AF"/>
    <w:rsid w:val="00A8592A"/>
    <w:rsid w:val="00A8614C"/>
    <w:rsid w:val="00A86AC1"/>
    <w:rsid w:val="00A86B8B"/>
    <w:rsid w:val="00A86BA8"/>
    <w:rsid w:val="00A8799C"/>
    <w:rsid w:val="00A87C9B"/>
    <w:rsid w:val="00A87D4D"/>
    <w:rsid w:val="00A90010"/>
    <w:rsid w:val="00A90084"/>
    <w:rsid w:val="00A90BBA"/>
    <w:rsid w:val="00A9280A"/>
    <w:rsid w:val="00A9299D"/>
    <w:rsid w:val="00A93148"/>
    <w:rsid w:val="00A9354C"/>
    <w:rsid w:val="00A93F04"/>
    <w:rsid w:val="00A94F9C"/>
    <w:rsid w:val="00A9506A"/>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30D"/>
    <w:rsid w:val="00AC55BA"/>
    <w:rsid w:val="00AC56B5"/>
    <w:rsid w:val="00AC5D57"/>
    <w:rsid w:val="00AC5F8D"/>
    <w:rsid w:val="00AC64F5"/>
    <w:rsid w:val="00AC6586"/>
    <w:rsid w:val="00AC6F93"/>
    <w:rsid w:val="00AC6F95"/>
    <w:rsid w:val="00AC7679"/>
    <w:rsid w:val="00AC7AE1"/>
    <w:rsid w:val="00AC7BC2"/>
    <w:rsid w:val="00AC7D6E"/>
    <w:rsid w:val="00AD0FFF"/>
    <w:rsid w:val="00AD1903"/>
    <w:rsid w:val="00AD2905"/>
    <w:rsid w:val="00AD2B22"/>
    <w:rsid w:val="00AD2C47"/>
    <w:rsid w:val="00AD365F"/>
    <w:rsid w:val="00AD3D33"/>
    <w:rsid w:val="00AD437E"/>
    <w:rsid w:val="00AD4B8B"/>
    <w:rsid w:val="00AD56D2"/>
    <w:rsid w:val="00AD5968"/>
    <w:rsid w:val="00AD5EA4"/>
    <w:rsid w:val="00AD638B"/>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A9"/>
    <w:rsid w:val="00AF717E"/>
    <w:rsid w:val="00AF768F"/>
    <w:rsid w:val="00AF7BCF"/>
    <w:rsid w:val="00AF7F81"/>
    <w:rsid w:val="00B00754"/>
    <w:rsid w:val="00B00B39"/>
    <w:rsid w:val="00B0174A"/>
    <w:rsid w:val="00B01F7C"/>
    <w:rsid w:val="00B0206F"/>
    <w:rsid w:val="00B025D0"/>
    <w:rsid w:val="00B02B4D"/>
    <w:rsid w:val="00B0333C"/>
    <w:rsid w:val="00B0334A"/>
    <w:rsid w:val="00B03DDD"/>
    <w:rsid w:val="00B04991"/>
    <w:rsid w:val="00B049E9"/>
    <w:rsid w:val="00B04BD2"/>
    <w:rsid w:val="00B04CFF"/>
    <w:rsid w:val="00B05C28"/>
    <w:rsid w:val="00B05DCA"/>
    <w:rsid w:val="00B064BA"/>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680C"/>
    <w:rsid w:val="00B27098"/>
    <w:rsid w:val="00B27403"/>
    <w:rsid w:val="00B2755C"/>
    <w:rsid w:val="00B27A09"/>
    <w:rsid w:val="00B27D18"/>
    <w:rsid w:val="00B27DC6"/>
    <w:rsid w:val="00B30556"/>
    <w:rsid w:val="00B307DB"/>
    <w:rsid w:val="00B3098E"/>
    <w:rsid w:val="00B309D7"/>
    <w:rsid w:val="00B30CD1"/>
    <w:rsid w:val="00B319E6"/>
    <w:rsid w:val="00B32112"/>
    <w:rsid w:val="00B3213E"/>
    <w:rsid w:val="00B321D7"/>
    <w:rsid w:val="00B32C32"/>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E21"/>
    <w:rsid w:val="00B47D63"/>
    <w:rsid w:val="00B47D6D"/>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A70"/>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D2C"/>
    <w:rsid w:val="00B631EE"/>
    <w:rsid w:val="00B634E3"/>
    <w:rsid w:val="00B63926"/>
    <w:rsid w:val="00B63A00"/>
    <w:rsid w:val="00B63D2B"/>
    <w:rsid w:val="00B64EE0"/>
    <w:rsid w:val="00B64EE7"/>
    <w:rsid w:val="00B65872"/>
    <w:rsid w:val="00B658F6"/>
    <w:rsid w:val="00B66BDB"/>
    <w:rsid w:val="00B67184"/>
    <w:rsid w:val="00B67DC1"/>
    <w:rsid w:val="00B67EEC"/>
    <w:rsid w:val="00B701B3"/>
    <w:rsid w:val="00B70E3D"/>
    <w:rsid w:val="00B7100A"/>
    <w:rsid w:val="00B717A6"/>
    <w:rsid w:val="00B71854"/>
    <w:rsid w:val="00B71E5F"/>
    <w:rsid w:val="00B71F9D"/>
    <w:rsid w:val="00B72862"/>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9BB"/>
    <w:rsid w:val="00B82EA7"/>
    <w:rsid w:val="00B83679"/>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D3E"/>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542"/>
    <w:rsid w:val="00BB654D"/>
    <w:rsid w:val="00BB68C1"/>
    <w:rsid w:val="00BB6D6C"/>
    <w:rsid w:val="00BB7374"/>
    <w:rsid w:val="00BB76A9"/>
    <w:rsid w:val="00BC06E7"/>
    <w:rsid w:val="00BC07CF"/>
    <w:rsid w:val="00BC0C51"/>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EC5"/>
    <w:rsid w:val="00BD372A"/>
    <w:rsid w:val="00BD3CE6"/>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F5B"/>
    <w:rsid w:val="00BF676B"/>
    <w:rsid w:val="00BF6E0A"/>
    <w:rsid w:val="00BF7320"/>
    <w:rsid w:val="00BF7712"/>
    <w:rsid w:val="00BF78DA"/>
    <w:rsid w:val="00C004B9"/>
    <w:rsid w:val="00C008C4"/>
    <w:rsid w:val="00C00EEF"/>
    <w:rsid w:val="00C01451"/>
    <w:rsid w:val="00C0199A"/>
    <w:rsid w:val="00C01B03"/>
    <w:rsid w:val="00C02374"/>
    <w:rsid w:val="00C03169"/>
    <w:rsid w:val="00C03A5C"/>
    <w:rsid w:val="00C0406A"/>
    <w:rsid w:val="00C04559"/>
    <w:rsid w:val="00C05C47"/>
    <w:rsid w:val="00C05D47"/>
    <w:rsid w:val="00C05FF9"/>
    <w:rsid w:val="00C062AC"/>
    <w:rsid w:val="00C06F3E"/>
    <w:rsid w:val="00C10389"/>
    <w:rsid w:val="00C10BF6"/>
    <w:rsid w:val="00C10F9A"/>
    <w:rsid w:val="00C1128E"/>
    <w:rsid w:val="00C12789"/>
    <w:rsid w:val="00C12879"/>
    <w:rsid w:val="00C12909"/>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35"/>
    <w:rsid w:val="00C17EDE"/>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A45"/>
    <w:rsid w:val="00C26B33"/>
    <w:rsid w:val="00C26B9E"/>
    <w:rsid w:val="00C27267"/>
    <w:rsid w:val="00C30183"/>
    <w:rsid w:val="00C302D5"/>
    <w:rsid w:val="00C30DD1"/>
    <w:rsid w:val="00C30F09"/>
    <w:rsid w:val="00C31067"/>
    <w:rsid w:val="00C3112F"/>
    <w:rsid w:val="00C3118C"/>
    <w:rsid w:val="00C31D48"/>
    <w:rsid w:val="00C32327"/>
    <w:rsid w:val="00C326E8"/>
    <w:rsid w:val="00C32A94"/>
    <w:rsid w:val="00C32AB0"/>
    <w:rsid w:val="00C32B6E"/>
    <w:rsid w:val="00C3302D"/>
    <w:rsid w:val="00C33073"/>
    <w:rsid w:val="00C33D07"/>
    <w:rsid w:val="00C34303"/>
    <w:rsid w:val="00C347FD"/>
    <w:rsid w:val="00C35351"/>
    <w:rsid w:val="00C3562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547C"/>
    <w:rsid w:val="00C6611B"/>
    <w:rsid w:val="00C666CD"/>
    <w:rsid w:val="00C66803"/>
    <w:rsid w:val="00C70326"/>
    <w:rsid w:val="00C70A12"/>
    <w:rsid w:val="00C71798"/>
    <w:rsid w:val="00C725E1"/>
    <w:rsid w:val="00C7287E"/>
    <w:rsid w:val="00C72CC8"/>
    <w:rsid w:val="00C7373D"/>
    <w:rsid w:val="00C7381D"/>
    <w:rsid w:val="00C73999"/>
    <w:rsid w:val="00C739AA"/>
    <w:rsid w:val="00C73A48"/>
    <w:rsid w:val="00C74373"/>
    <w:rsid w:val="00C74436"/>
    <w:rsid w:val="00C75127"/>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5E8"/>
    <w:rsid w:val="00C85BC2"/>
    <w:rsid w:val="00C862D1"/>
    <w:rsid w:val="00C866D3"/>
    <w:rsid w:val="00C868FB"/>
    <w:rsid w:val="00C87D06"/>
    <w:rsid w:val="00C90118"/>
    <w:rsid w:val="00C90FE5"/>
    <w:rsid w:val="00C912B6"/>
    <w:rsid w:val="00C9178A"/>
    <w:rsid w:val="00C92098"/>
    <w:rsid w:val="00C92ECB"/>
    <w:rsid w:val="00C92F23"/>
    <w:rsid w:val="00C938D4"/>
    <w:rsid w:val="00C93E6A"/>
    <w:rsid w:val="00C943A7"/>
    <w:rsid w:val="00C95407"/>
    <w:rsid w:val="00C95923"/>
    <w:rsid w:val="00C9669B"/>
    <w:rsid w:val="00C9714C"/>
    <w:rsid w:val="00C97BA6"/>
    <w:rsid w:val="00CA0762"/>
    <w:rsid w:val="00CA0B1B"/>
    <w:rsid w:val="00CA0CA2"/>
    <w:rsid w:val="00CA1371"/>
    <w:rsid w:val="00CA2B4E"/>
    <w:rsid w:val="00CA2E7F"/>
    <w:rsid w:val="00CA31B3"/>
    <w:rsid w:val="00CA43D2"/>
    <w:rsid w:val="00CA4BAD"/>
    <w:rsid w:val="00CA4C50"/>
    <w:rsid w:val="00CA4E00"/>
    <w:rsid w:val="00CA512B"/>
    <w:rsid w:val="00CA617D"/>
    <w:rsid w:val="00CA62B0"/>
    <w:rsid w:val="00CA6495"/>
    <w:rsid w:val="00CA7032"/>
    <w:rsid w:val="00CA7F6B"/>
    <w:rsid w:val="00CA7FEF"/>
    <w:rsid w:val="00CB0117"/>
    <w:rsid w:val="00CB0D53"/>
    <w:rsid w:val="00CB0E42"/>
    <w:rsid w:val="00CB11FF"/>
    <w:rsid w:val="00CB12CF"/>
    <w:rsid w:val="00CB1E6D"/>
    <w:rsid w:val="00CB2DF7"/>
    <w:rsid w:val="00CB31A8"/>
    <w:rsid w:val="00CB326A"/>
    <w:rsid w:val="00CB35EA"/>
    <w:rsid w:val="00CB3E14"/>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97D"/>
    <w:rsid w:val="00CD0CB4"/>
    <w:rsid w:val="00CD1CC6"/>
    <w:rsid w:val="00CD1DBD"/>
    <w:rsid w:val="00CD20E6"/>
    <w:rsid w:val="00CD25C5"/>
    <w:rsid w:val="00CD288C"/>
    <w:rsid w:val="00CD4073"/>
    <w:rsid w:val="00CD4935"/>
    <w:rsid w:val="00CD493A"/>
    <w:rsid w:val="00CD504C"/>
    <w:rsid w:val="00CD5583"/>
    <w:rsid w:val="00CD5BAB"/>
    <w:rsid w:val="00CD6204"/>
    <w:rsid w:val="00CD64BD"/>
    <w:rsid w:val="00CD666F"/>
    <w:rsid w:val="00CD7391"/>
    <w:rsid w:val="00CD7C55"/>
    <w:rsid w:val="00CD7D17"/>
    <w:rsid w:val="00CE00D1"/>
    <w:rsid w:val="00CE00F9"/>
    <w:rsid w:val="00CE04DF"/>
    <w:rsid w:val="00CE0B7A"/>
    <w:rsid w:val="00CE0BBE"/>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C7C"/>
    <w:rsid w:val="00CF0CEF"/>
    <w:rsid w:val="00CF0FC3"/>
    <w:rsid w:val="00CF16C7"/>
    <w:rsid w:val="00CF1A92"/>
    <w:rsid w:val="00CF3044"/>
    <w:rsid w:val="00CF3862"/>
    <w:rsid w:val="00CF4537"/>
    <w:rsid w:val="00CF457D"/>
    <w:rsid w:val="00CF4868"/>
    <w:rsid w:val="00CF553D"/>
    <w:rsid w:val="00CF59B0"/>
    <w:rsid w:val="00CF5A25"/>
    <w:rsid w:val="00CF5E17"/>
    <w:rsid w:val="00CF5EA5"/>
    <w:rsid w:val="00CF5F7E"/>
    <w:rsid w:val="00CF600F"/>
    <w:rsid w:val="00CF634E"/>
    <w:rsid w:val="00CF635C"/>
    <w:rsid w:val="00CF6C74"/>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96F"/>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DDF"/>
    <w:rsid w:val="00D25FD0"/>
    <w:rsid w:val="00D263D8"/>
    <w:rsid w:val="00D2640F"/>
    <w:rsid w:val="00D26DFA"/>
    <w:rsid w:val="00D302A6"/>
    <w:rsid w:val="00D3065A"/>
    <w:rsid w:val="00D30C89"/>
    <w:rsid w:val="00D30FD2"/>
    <w:rsid w:val="00D316DA"/>
    <w:rsid w:val="00D31795"/>
    <w:rsid w:val="00D31A40"/>
    <w:rsid w:val="00D336EB"/>
    <w:rsid w:val="00D34405"/>
    <w:rsid w:val="00D352A9"/>
    <w:rsid w:val="00D355A0"/>
    <w:rsid w:val="00D35754"/>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022"/>
    <w:rsid w:val="00D42F00"/>
    <w:rsid w:val="00D43E04"/>
    <w:rsid w:val="00D44241"/>
    <w:rsid w:val="00D44921"/>
    <w:rsid w:val="00D44971"/>
    <w:rsid w:val="00D44F51"/>
    <w:rsid w:val="00D45A93"/>
    <w:rsid w:val="00D45C31"/>
    <w:rsid w:val="00D45F90"/>
    <w:rsid w:val="00D4662E"/>
    <w:rsid w:val="00D46674"/>
    <w:rsid w:val="00D46C3B"/>
    <w:rsid w:val="00D474F8"/>
    <w:rsid w:val="00D475F2"/>
    <w:rsid w:val="00D47753"/>
    <w:rsid w:val="00D47A62"/>
    <w:rsid w:val="00D47D4B"/>
    <w:rsid w:val="00D5002A"/>
    <w:rsid w:val="00D51014"/>
    <w:rsid w:val="00D51AAB"/>
    <w:rsid w:val="00D51E5F"/>
    <w:rsid w:val="00D53631"/>
    <w:rsid w:val="00D53767"/>
    <w:rsid w:val="00D53E90"/>
    <w:rsid w:val="00D54488"/>
    <w:rsid w:val="00D54535"/>
    <w:rsid w:val="00D547F9"/>
    <w:rsid w:val="00D54E60"/>
    <w:rsid w:val="00D55512"/>
    <w:rsid w:val="00D55954"/>
    <w:rsid w:val="00D55DBC"/>
    <w:rsid w:val="00D5636D"/>
    <w:rsid w:val="00D56679"/>
    <w:rsid w:val="00D56D98"/>
    <w:rsid w:val="00D56F34"/>
    <w:rsid w:val="00D56F9E"/>
    <w:rsid w:val="00D574EA"/>
    <w:rsid w:val="00D57BB2"/>
    <w:rsid w:val="00D57C05"/>
    <w:rsid w:val="00D6002E"/>
    <w:rsid w:val="00D60086"/>
    <w:rsid w:val="00D60FAE"/>
    <w:rsid w:val="00D615DF"/>
    <w:rsid w:val="00D61986"/>
    <w:rsid w:val="00D61A39"/>
    <w:rsid w:val="00D62896"/>
    <w:rsid w:val="00D62DCF"/>
    <w:rsid w:val="00D63466"/>
    <w:rsid w:val="00D636E6"/>
    <w:rsid w:val="00D63C48"/>
    <w:rsid w:val="00D63CC5"/>
    <w:rsid w:val="00D63CF4"/>
    <w:rsid w:val="00D63F4F"/>
    <w:rsid w:val="00D647ED"/>
    <w:rsid w:val="00D64F4B"/>
    <w:rsid w:val="00D650AD"/>
    <w:rsid w:val="00D6516F"/>
    <w:rsid w:val="00D65383"/>
    <w:rsid w:val="00D65F73"/>
    <w:rsid w:val="00D66080"/>
    <w:rsid w:val="00D6732D"/>
    <w:rsid w:val="00D704B0"/>
    <w:rsid w:val="00D710F4"/>
    <w:rsid w:val="00D71573"/>
    <w:rsid w:val="00D71834"/>
    <w:rsid w:val="00D71924"/>
    <w:rsid w:val="00D71B46"/>
    <w:rsid w:val="00D71DE3"/>
    <w:rsid w:val="00D71FF5"/>
    <w:rsid w:val="00D72909"/>
    <w:rsid w:val="00D72A50"/>
    <w:rsid w:val="00D72C26"/>
    <w:rsid w:val="00D72C5B"/>
    <w:rsid w:val="00D72D90"/>
    <w:rsid w:val="00D73285"/>
    <w:rsid w:val="00D73D4B"/>
    <w:rsid w:val="00D73E94"/>
    <w:rsid w:val="00D740FD"/>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901E5"/>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54BE"/>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382E"/>
    <w:rsid w:val="00DB38D4"/>
    <w:rsid w:val="00DB3A96"/>
    <w:rsid w:val="00DB3C5F"/>
    <w:rsid w:val="00DB470A"/>
    <w:rsid w:val="00DB4EA6"/>
    <w:rsid w:val="00DB4F8E"/>
    <w:rsid w:val="00DB5829"/>
    <w:rsid w:val="00DB633C"/>
    <w:rsid w:val="00DB66E3"/>
    <w:rsid w:val="00DB67AB"/>
    <w:rsid w:val="00DB6AAF"/>
    <w:rsid w:val="00DB6F5F"/>
    <w:rsid w:val="00DB7076"/>
    <w:rsid w:val="00DB7956"/>
    <w:rsid w:val="00DC0446"/>
    <w:rsid w:val="00DC11D6"/>
    <w:rsid w:val="00DC169E"/>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CB5"/>
    <w:rsid w:val="00DE6EED"/>
    <w:rsid w:val="00DE74DD"/>
    <w:rsid w:val="00DE7686"/>
    <w:rsid w:val="00DE7801"/>
    <w:rsid w:val="00DF00ED"/>
    <w:rsid w:val="00DF0451"/>
    <w:rsid w:val="00DF0591"/>
    <w:rsid w:val="00DF0BA6"/>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7808"/>
    <w:rsid w:val="00DF7BF5"/>
    <w:rsid w:val="00DF7F51"/>
    <w:rsid w:val="00DF7FAC"/>
    <w:rsid w:val="00E00627"/>
    <w:rsid w:val="00E00A52"/>
    <w:rsid w:val="00E00BE1"/>
    <w:rsid w:val="00E0119A"/>
    <w:rsid w:val="00E011FD"/>
    <w:rsid w:val="00E01443"/>
    <w:rsid w:val="00E027B7"/>
    <w:rsid w:val="00E032ED"/>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545D"/>
    <w:rsid w:val="00E154B5"/>
    <w:rsid w:val="00E156F3"/>
    <w:rsid w:val="00E15743"/>
    <w:rsid w:val="00E1577A"/>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6BD"/>
    <w:rsid w:val="00E308BB"/>
    <w:rsid w:val="00E308F4"/>
    <w:rsid w:val="00E30DD8"/>
    <w:rsid w:val="00E31155"/>
    <w:rsid w:val="00E314DF"/>
    <w:rsid w:val="00E3150B"/>
    <w:rsid w:val="00E31A65"/>
    <w:rsid w:val="00E31EAF"/>
    <w:rsid w:val="00E32823"/>
    <w:rsid w:val="00E3291C"/>
    <w:rsid w:val="00E32BEA"/>
    <w:rsid w:val="00E32EF2"/>
    <w:rsid w:val="00E3365B"/>
    <w:rsid w:val="00E337EA"/>
    <w:rsid w:val="00E3397D"/>
    <w:rsid w:val="00E33992"/>
    <w:rsid w:val="00E33AB7"/>
    <w:rsid w:val="00E340EF"/>
    <w:rsid w:val="00E343D6"/>
    <w:rsid w:val="00E3447C"/>
    <w:rsid w:val="00E34BAD"/>
    <w:rsid w:val="00E350E2"/>
    <w:rsid w:val="00E35B12"/>
    <w:rsid w:val="00E35BF3"/>
    <w:rsid w:val="00E366D7"/>
    <w:rsid w:val="00E36DA2"/>
    <w:rsid w:val="00E379A8"/>
    <w:rsid w:val="00E37DD0"/>
    <w:rsid w:val="00E37EC7"/>
    <w:rsid w:val="00E40561"/>
    <w:rsid w:val="00E40EAA"/>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99A"/>
    <w:rsid w:val="00E56C51"/>
    <w:rsid w:val="00E56C93"/>
    <w:rsid w:val="00E56E3D"/>
    <w:rsid w:val="00E56F8C"/>
    <w:rsid w:val="00E57231"/>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8B7"/>
    <w:rsid w:val="00E6698A"/>
    <w:rsid w:val="00E6719D"/>
    <w:rsid w:val="00E67342"/>
    <w:rsid w:val="00E70F64"/>
    <w:rsid w:val="00E71FC0"/>
    <w:rsid w:val="00E72196"/>
    <w:rsid w:val="00E72671"/>
    <w:rsid w:val="00E727E4"/>
    <w:rsid w:val="00E73488"/>
    <w:rsid w:val="00E7358E"/>
    <w:rsid w:val="00E75280"/>
    <w:rsid w:val="00E758F8"/>
    <w:rsid w:val="00E75954"/>
    <w:rsid w:val="00E75CB2"/>
    <w:rsid w:val="00E7627F"/>
    <w:rsid w:val="00E76374"/>
    <w:rsid w:val="00E7676F"/>
    <w:rsid w:val="00E76875"/>
    <w:rsid w:val="00E768F0"/>
    <w:rsid w:val="00E76C6B"/>
    <w:rsid w:val="00E76F52"/>
    <w:rsid w:val="00E77FF0"/>
    <w:rsid w:val="00E809D2"/>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4A"/>
    <w:rsid w:val="00E93EA8"/>
    <w:rsid w:val="00E94473"/>
    <w:rsid w:val="00E95029"/>
    <w:rsid w:val="00E956C3"/>
    <w:rsid w:val="00E969C1"/>
    <w:rsid w:val="00E96C38"/>
    <w:rsid w:val="00E97986"/>
    <w:rsid w:val="00E97EAC"/>
    <w:rsid w:val="00EA0512"/>
    <w:rsid w:val="00EA0CE2"/>
    <w:rsid w:val="00EA141D"/>
    <w:rsid w:val="00EA21AB"/>
    <w:rsid w:val="00EA293D"/>
    <w:rsid w:val="00EA2C09"/>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914"/>
    <w:rsid w:val="00EB5F51"/>
    <w:rsid w:val="00EB65DE"/>
    <w:rsid w:val="00EB66E0"/>
    <w:rsid w:val="00EB684C"/>
    <w:rsid w:val="00EB6B88"/>
    <w:rsid w:val="00EB6EB7"/>
    <w:rsid w:val="00EB6ED4"/>
    <w:rsid w:val="00EC0562"/>
    <w:rsid w:val="00EC064B"/>
    <w:rsid w:val="00EC0E73"/>
    <w:rsid w:val="00EC128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7076"/>
    <w:rsid w:val="00EC75EB"/>
    <w:rsid w:val="00EC77E2"/>
    <w:rsid w:val="00ED0138"/>
    <w:rsid w:val="00ED014E"/>
    <w:rsid w:val="00ED0D15"/>
    <w:rsid w:val="00ED1BB8"/>
    <w:rsid w:val="00ED22D5"/>
    <w:rsid w:val="00ED27B2"/>
    <w:rsid w:val="00ED27CD"/>
    <w:rsid w:val="00ED2B48"/>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C86"/>
    <w:rsid w:val="00EF317E"/>
    <w:rsid w:val="00EF32B0"/>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2E10"/>
    <w:rsid w:val="00F030BE"/>
    <w:rsid w:val="00F033D6"/>
    <w:rsid w:val="00F03962"/>
    <w:rsid w:val="00F03DD3"/>
    <w:rsid w:val="00F040DD"/>
    <w:rsid w:val="00F04324"/>
    <w:rsid w:val="00F04A3E"/>
    <w:rsid w:val="00F04A7B"/>
    <w:rsid w:val="00F052EC"/>
    <w:rsid w:val="00F05845"/>
    <w:rsid w:val="00F06462"/>
    <w:rsid w:val="00F06898"/>
    <w:rsid w:val="00F068B4"/>
    <w:rsid w:val="00F06BD8"/>
    <w:rsid w:val="00F06DD5"/>
    <w:rsid w:val="00F07656"/>
    <w:rsid w:val="00F07A24"/>
    <w:rsid w:val="00F10406"/>
    <w:rsid w:val="00F1042C"/>
    <w:rsid w:val="00F109ED"/>
    <w:rsid w:val="00F118F4"/>
    <w:rsid w:val="00F12113"/>
    <w:rsid w:val="00F1239F"/>
    <w:rsid w:val="00F12AE4"/>
    <w:rsid w:val="00F13258"/>
    <w:rsid w:val="00F1343C"/>
    <w:rsid w:val="00F13950"/>
    <w:rsid w:val="00F13B58"/>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CC"/>
    <w:rsid w:val="00F25241"/>
    <w:rsid w:val="00F25AB8"/>
    <w:rsid w:val="00F25B57"/>
    <w:rsid w:val="00F26878"/>
    <w:rsid w:val="00F268A8"/>
    <w:rsid w:val="00F26A1B"/>
    <w:rsid w:val="00F26FB2"/>
    <w:rsid w:val="00F27491"/>
    <w:rsid w:val="00F3019C"/>
    <w:rsid w:val="00F30A11"/>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1A0"/>
    <w:rsid w:val="00F456CC"/>
    <w:rsid w:val="00F45984"/>
    <w:rsid w:val="00F45C66"/>
    <w:rsid w:val="00F45E3F"/>
    <w:rsid w:val="00F4657C"/>
    <w:rsid w:val="00F46F8B"/>
    <w:rsid w:val="00F47BC8"/>
    <w:rsid w:val="00F51613"/>
    <w:rsid w:val="00F5224C"/>
    <w:rsid w:val="00F523D0"/>
    <w:rsid w:val="00F5253F"/>
    <w:rsid w:val="00F529FA"/>
    <w:rsid w:val="00F52E65"/>
    <w:rsid w:val="00F53FEF"/>
    <w:rsid w:val="00F54118"/>
    <w:rsid w:val="00F54BC3"/>
    <w:rsid w:val="00F554CE"/>
    <w:rsid w:val="00F56070"/>
    <w:rsid w:val="00F569AF"/>
    <w:rsid w:val="00F56A2A"/>
    <w:rsid w:val="00F571F9"/>
    <w:rsid w:val="00F57CEC"/>
    <w:rsid w:val="00F57D95"/>
    <w:rsid w:val="00F601B0"/>
    <w:rsid w:val="00F605D7"/>
    <w:rsid w:val="00F60660"/>
    <w:rsid w:val="00F60AB3"/>
    <w:rsid w:val="00F61539"/>
    <w:rsid w:val="00F61741"/>
    <w:rsid w:val="00F619D6"/>
    <w:rsid w:val="00F61BA5"/>
    <w:rsid w:val="00F62D47"/>
    <w:rsid w:val="00F63F10"/>
    <w:rsid w:val="00F64348"/>
    <w:rsid w:val="00F656A2"/>
    <w:rsid w:val="00F65AEB"/>
    <w:rsid w:val="00F65E7A"/>
    <w:rsid w:val="00F65FEB"/>
    <w:rsid w:val="00F66246"/>
    <w:rsid w:val="00F66BE8"/>
    <w:rsid w:val="00F66FDF"/>
    <w:rsid w:val="00F67190"/>
    <w:rsid w:val="00F67293"/>
    <w:rsid w:val="00F67543"/>
    <w:rsid w:val="00F706B9"/>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DAF"/>
    <w:rsid w:val="00F82367"/>
    <w:rsid w:val="00F82852"/>
    <w:rsid w:val="00F82C7E"/>
    <w:rsid w:val="00F82F0A"/>
    <w:rsid w:val="00F85432"/>
    <w:rsid w:val="00F85AD9"/>
    <w:rsid w:val="00F8674E"/>
    <w:rsid w:val="00F86B30"/>
    <w:rsid w:val="00F87506"/>
    <w:rsid w:val="00F87680"/>
    <w:rsid w:val="00F8777D"/>
    <w:rsid w:val="00F904D8"/>
    <w:rsid w:val="00F9086E"/>
    <w:rsid w:val="00F914AA"/>
    <w:rsid w:val="00F919CC"/>
    <w:rsid w:val="00F91B5B"/>
    <w:rsid w:val="00F91CCF"/>
    <w:rsid w:val="00F9200B"/>
    <w:rsid w:val="00F9227F"/>
    <w:rsid w:val="00F923C8"/>
    <w:rsid w:val="00F92F6D"/>
    <w:rsid w:val="00F936D5"/>
    <w:rsid w:val="00F93734"/>
    <w:rsid w:val="00F9387F"/>
    <w:rsid w:val="00F93E90"/>
    <w:rsid w:val="00F94AF9"/>
    <w:rsid w:val="00F952C5"/>
    <w:rsid w:val="00F964AA"/>
    <w:rsid w:val="00F964CC"/>
    <w:rsid w:val="00F96803"/>
    <w:rsid w:val="00F9734D"/>
    <w:rsid w:val="00F97712"/>
    <w:rsid w:val="00F978BB"/>
    <w:rsid w:val="00F978CB"/>
    <w:rsid w:val="00FA0020"/>
    <w:rsid w:val="00FA00CB"/>
    <w:rsid w:val="00FA0C0A"/>
    <w:rsid w:val="00FA0E42"/>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395"/>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31A7"/>
    <w:rsid w:val="00FC321C"/>
    <w:rsid w:val="00FC3BAF"/>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1173"/>
    <w:rsid w:val="00FF1715"/>
    <w:rsid w:val="00FF23B0"/>
    <w:rsid w:val="00FF261E"/>
    <w:rsid w:val="00FF298E"/>
    <w:rsid w:val="00FF3340"/>
    <w:rsid w:val="00FF42DF"/>
    <w:rsid w:val="00FF48C8"/>
    <w:rsid w:val="00FF5454"/>
    <w:rsid w:val="00FF54FE"/>
    <w:rsid w:val="00FF5ECD"/>
    <w:rsid w:val="00FF6076"/>
    <w:rsid w:val="00FF6BA4"/>
    <w:rsid w:val="00FF73D8"/>
    <w:rsid w:val="00FF7AD4"/>
    <w:rsid w:val="00FF7D5A"/>
    <w:rsid w:val="00FF7FD1"/>
    <w:rsid w:val="2D8C5B14"/>
    <w:rsid w:val="30260BC2"/>
    <w:rsid w:val="4EE359B7"/>
    <w:rsid w:val="5F91A916"/>
    <w:rsid w:val="6CCD8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B15AA"/>
  <w15:docId w15:val="{88916773-0602-4479-968E-035E8BC5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95"/>
    <w:pPr>
      <w:spacing w:after="160" w:line="259" w:lineRule="auto"/>
    </w:pPr>
    <w:rPr>
      <w:rFonts w:asciiTheme="minorHAnsi" w:eastAsiaTheme="minorHAnsi" w:hAnsiTheme="minorHAnsi" w:cstheme="minorBidi"/>
      <w:kern w:val="2"/>
      <w:sz w:val="24"/>
      <w:szCs w:val="22"/>
      <w:lang w:eastAsia="en-US"/>
      <w14:ligatures w14:val="standardContextual"/>
    </w:rPr>
  </w:style>
  <w:style w:type="paragraph" w:styleId="Heading1">
    <w:name w:val="heading 1"/>
    <w:basedOn w:val="Normal"/>
    <w:next w:val="Normal"/>
    <w:link w:val="Heading1Char"/>
    <w:qFormat/>
    <w:locked/>
    <w:rsid w:val="004746DA"/>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4746DA"/>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0B4FF0"/>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4746DA"/>
    <w:pPr>
      <w:spacing w:before="240" w:after="240" w:line="240" w:lineRule="auto"/>
      <w:outlineLvl w:val="3"/>
    </w:pPr>
    <w:rPr>
      <w:b/>
    </w:rPr>
  </w:style>
  <w:style w:type="paragraph" w:styleId="Heading6">
    <w:name w:val="heading 6"/>
    <w:basedOn w:val="Heading4"/>
    <w:next w:val="Normal"/>
    <w:link w:val="Heading6Char"/>
    <w:semiHidden/>
    <w:unhideWhenUsed/>
    <w:qFormat/>
    <w:rsid w:val="004746DA"/>
    <w:pPr>
      <w:outlineLvl w:val="5"/>
    </w:pPr>
    <w:rPr>
      <w:b w:val="0"/>
      <w:bCs/>
      <w:color w:val="43194C" w:themeColor="accent1" w:themeShade="7F"/>
    </w:rPr>
  </w:style>
  <w:style w:type="character" w:default="1" w:styleId="DefaultParagraphFont">
    <w:name w:val="Default Paragraph Font"/>
    <w:uiPriority w:val="1"/>
    <w:semiHidden/>
    <w:unhideWhenUsed/>
    <w:rsid w:val="000B4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FF0"/>
  </w:style>
  <w:style w:type="character" w:customStyle="1" w:styleId="Heading2Char">
    <w:name w:val="Heading 2 Char"/>
    <w:link w:val="Heading2"/>
    <w:uiPriority w:val="99"/>
    <w:rsid w:val="004746DA"/>
    <w:rPr>
      <w:rFonts w:asciiTheme="minorHAnsi" w:hAnsiTheme="minorHAnsi"/>
      <w:color w:val="873299"/>
      <w:sz w:val="32"/>
    </w:rPr>
  </w:style>
  <w:style w:type="character" w:customStyle="1" w:styleId="Heading4Char">
    <w:name w:val="Heading 4 Char"/>
    <w:basedOn w:val="DefaultParagraphFont"/>
    <w:link w:val="Heading4"/>
    <w:rsid w:val="004746DA"/>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4746DA"/>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qFormat/>
    <w:locked/>
    <w:rsid w:val="004746DA"/>
    <w:pPr>
      <w:numPr>
        <w:numId w:val="11"/>
      </w:numPr>
      <w:ind w:left="851" w:hanging="284"/>
    </w:pPr>
    <w:rPr>
      <w:szCs w:val="20"/>
    </w:rPr>
  </w:style>
  <w:style w:type="paragraph" w:customStyle="1" w:styleId="CoverInfo">
    <w:name w:val="Cover Info"/>
    <w:basedOn w:val="Normal"/>
    <w:link w:val="CoverInfoChar"/>
    <w:rsid w:val="004746DA"/>
    <w:pPr>
      <w:jc w:val="right"/>
    </w:pPr>
    <w:rPr>
      <w:caps/>
      <w:color w:val="FFFFFF" w:themeColor="background1"/>
      <w:lang w:val="en-US"/>
    </w:rPr>
  </w:style>
  <w:style w:type="paragraph" w:customStyle="1" w:styleId="Numbering">
    <w:name w:val="Numbering"/>
    <w:basedOn w:val="Normal"/>
    <w:link w:val="NumberingChar"/>
    <w:autoRedefine/>
    <w:uiPriority w:val="99"/>
    <w:qFormat/>
    <w:locked/>
    <w:rsid w:val="00826470"/>
    <w:pPr>
      <w:widowControl w:val="0"/>
      <w:numPr>
        <w:numId w:val="39"/>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826470"/>
    <w:rPr>
      <w:rFonts w:asciiTheme="minorHAnsi" w:eastAsiaTheme="minorHAnsi" w:hAnsiTheme="minorHAnsi" w:cstheme="minorBidi"/>
      <w:kern w:val="2"/>
      <w:sz w:val="24"/>
      <w:szCs w:val="22"/>
      <w:lang w:val="en-US" w:eastAsia="en-US"/>
      <w14:ligatures w14:val="standardContextual"/>
    </w:rPr>
  </w:style>
  <w:style w:type="paragraph" w:styleId="Header">
    <w:name w:val="header"/>
    <w:aliases w:val="Table Header,Table-Header"/>
    <w:basedOn w:val="Normal"/>
    <w:link w:val="HeaderChar"/>
    <w:uiPriority w:val="99"/>
    <w:qFormat/>
    <w:rsid w:val="004746DA"/>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4746DA"/>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4746DA"/>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4746D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4746DA"/>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4746DA"/>
    <w:rPr>
      <w:caps/>
      <w:color w:val="FFFFFF" w:themeColor="background1"/>
      <w:sz w:val="44"/>
      <w:szCs w:val="52"/>
      <w:shd w:val="clear" w:color="auto" w:fill="2F1A45"/>
      <w:lang w:val="en-US"/>
    </w:rPr>
  </w:style>
  <w:style w:type="character" w:styleId="FollowedHyperlink">
    <w:name w:val="FollowedHyperlink"/>
    <w:rsid w:val="004746DA"/>
    <w:rPr>
      <w:color w:val="800080"/>
      <w:u w:val="single"/>
    </w:rPr>
  </w:style>
  <w:style w:type="paragraph" w:styleId="Footer">
    <w:name w:val="footer"/>
    <w:basedOn w:val="Normal"/>
    <w:link w:val="FooterChar"/>
    <w:unhideWhenUsed/>
    <w:rsid w:val="004746DA"/>
    <w:pPr>
      <w:tabs>
        <w:tab w:val="center" w:pos="4513"/>
        <w:tab w:val="right" w:pos="9026"/>
      </w:tabs>
      <w:spacing w:after="0" w:line="240" w:lineRule="auto"/>
    </w:pPr>
  </w:style>
  <w:style w:type="character" w:customStyle="1" w:styleId="FooterChar">
    <w:name w:val="Footer Char"/>
    <w:basedOn w:val="DefaultParagraphFont"/>
    <w:link w:val="Footer"/>
    <w:rsid w:val="004746DA"/>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6330CE"/>
    <w:rPr>
      <w:rFonts w:asciiTheme="minorHAnsi" w:hAnsiTheme="minorHAnsi"/>
      <w:color w:val="007782" w:themeColor="accent2" w:themeShade="BF"/>
      <w:sz w:val="24"/>
      <w:u w:val="single"/>
    </w:rPr>
  </w:style>
  <w:style w:type="paragraph" w:styleId="Revision">
    <w:name w:val="Revision"/>
    <w:hidden/>
    <w:uiPriority w:val="99"/>
    <w:semiHidden/>
    <w:rsid w:val="004746DA"/>
  </w:style>
  <w:style w:type="table" w:customStyle="1" w:styleId="TableGrid1">
    <w:name w:val="Table Grid1"/>
    <w:basedOn w:val="TableNormal"/>
    <w:next w:val="TableGrid"/>
    <w:rsid w:val="004746D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4746DA"/>
    <w:pPr>
      <w:jc w:val="right"/>
    </w:pPr>
    <w:rPr>
      <w:b/>
      <w:caps/>
      <w:color w:val="FFFFFF" w:themeColor="background1"/>
      <w:lang w:val="en-US"/>
    </w:rPr>
  </w:style>
  <w:style w:type="paragraph" w:styleId="TOC1">
    <w:name w:val="toc 1"/>
    <w:basedOn w:val="Normal"/>
    <w:next w:val="Normal"/>
    <w:link w:val="TOC1Char"/>
    <w:autoRedefine/>
    <w:uiPriority w:val="39"/>
    <w:unhideWhenUsed/>
    <w:rsid w:val="004746DA"/>
    <w:pPr>
      <w:spacing w:after="100"/>
    </w:pPr>
    <w:rPr>
      <w:b/>
    </w:rPr>
  </w:style>
  <w:style w:type="paragraph" w:styleId="TOC2">
    <w:name w:val="toc 2"/>
    <w:basedOn w:val="Normal"/>
    <w:next w:val="Normal"/>
    <w:autoRedefine/>
    <w:uiPriority w:val="39"/>
    <w:rsid w:val="004746DA"/>
    <w:pPr>
      <w:spacing w:after="100"/>
      <w:ind w:left="260"/>
    </w:pPr>
  </w:style>
  <w:style w:type="paragraph" w:styleId="TOC3">
    <w:name w:val="toc 3"/>
    <w:basedOn w:val="Normal"/>
    <w:next w:val="Normal"/>
    <w:autoRedefine/>
    <w:uiPriority w:val="39"/>
    <w:rsid w:val="004746DA"/>
    <w:pPr>
      <w:tabs>
        <w:tab w:val="right" w:leader="dot" w:pos="9016"/>
      </w:tabs>
      <w:spacing w:after="100"/>
      <w:ind w:left="520"/>
    </w:pPr>
    <w:rPr>
      <w:noProof/>
    </w:rPr>
  </w:style>
  <w:style w:type="paragraph" w:styleId="TOCHeading">
    <w:name w:val="TOC Heading"/>
    <w:basedOn w:val="Normal"/>
    <w:next w:val="Normal"/>
    <w:uiPriority w:val="39"/>
    <w:unhideWhenUsed/>
    <w:rsid w:val="004746DA"/>
    <w:pPr>
      <w:pageBreakBefore/>
      <w:pBdr>
        <w:top w:val="single" w:sz="18" w:space="5" w:color="2F1A45"/>
        <w:bottom w:val="single" w:sz="18" w:space="5" w:color="2F1A45"/>
      </w:pBdr>
      <w:spacing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4746DA"/>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4746DA"/>
  </w:style>
  <w:style w:type="character" w:customStyle="1" w:styleId="Heading1Char">
    <w:name w:val="Heading 1 Char"/>
    <w:basedOn w:val="DefaultParagraphFont"/>
    <w:link w:val="Heading1"/>
    <w:rsid w:val="004746DA"/>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0B4FF0"/>
    <w:rPr>
      <w:color w:val="007782" w:themeColor="accent2" w:themeShade="BF"/>
      <w:kern w:val="2"/>
      <w:sz w:val="28"/>
      <w14:ligatures w14:val="standardContextual"/>
    </w:rPr>
  </w:style>
  <w:style w:type="paragraph" w:styleId="TOC4">
    <w:name w:val="toc 4"/>
    <w:basedOn w:val="Normal"/>
    <w:next w:val="Normal"/>
    <w:autoRedefine/>
    <w:uiPriority w:val="39"/>
    <w:unhideWhenUsed/>
    <w:rsid w:val="004746DA"/>
    <w:pPr>
      <w:spacing w:after="100" w:line="276" w:lineRule="auto"/>
      <w:ind w:left="660"/>
    </w:pPr>
    <w:rPr>
      <w:rFonts w:eastAsiaTheme="minorEastAsia"/>
    </w:rPr>
  </w:style>
  <w:style w:type="table" w:customStyle="1" w:styleId="TableGrid3">
    <w:name w:val="Table Grid3"/>
    <w:basedOn w:val="TableNormal"/>
    <w:next w:val="TableGrid"/>
    <w:rsid w:val="0047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46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46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4746DA"/>
    <w:pPr>
      <w:spacing w:before="120"/>
    </w:pPr>
    <w:rPr>
      <w:rFonts w:eastAsiaTheme="majorEastAsia" w:cstheme="majorBidi"/>
      <w:bCs/>
      <w:szCs w:val="24"/>
    </w:rPr>
  </w:style>
  <w:style w:type="character" w:customStyle="1" w:styleId="BulletsChar">
    <w:name w:val="Bullets Char"/>
    <w:link w:val="Bullets"/>
    <w:uiPriority w:val="1"/>
    <w:locked/>
    <w:rsid w:val="004746DA"/>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4746DA"/>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4746DA"/>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4746DA"/>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5E3595"/>
    <w:rPr>
      <w:color w:val="873299" w:themeColor="accent1"/>
      <w:lang w:val="en-US"/>
    </w:rPr>
  </w:style>
  <w:style w:type="paragraph" w:customStyle="1" w:styleId="FooterDetails">
    <w:name w:val="FooterDetails"/>
    <w:basedOn w:val="Normal"/>
    <w:link w:val="FooterDetailsChar"/>
    <w:rsid w:val="004746DA"/>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4746DA"/>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5E3595"/>
    <w:rPr>
      <w:rFonts w:asciiTheme="minorHAnsi" w:eastAsiaTheme="minorHAnsi" w:hAnsiTheme="minorHAnsi" w:cstheme="minorBidi"/>
      <w:b w:val="0"/>
      <w:caps w:val="0"/>
      <w:color w:val="873299" w:themeColor="accent1"/>
      <w:kern w:val="2"/>
      <w:sz w:val="24"/>
      <w:szCs w:val="22"/>
      <w:lang w:val="en-US" w:eastAsia="en-US"/>
      <w14:ligatures w14:val="standardContextual"/>
    </w:rPr>
  </w:style>
  <w:style w:type="character" w:customStyle="1" w:styleId="FooterDetailsChar">
    <w:name w:val="FooterDetails Char"/>
    <w:basedOn w:val="DefaultParagraphFont"/>
    <w:link w:val="FooterDetails"/>
    <w:rsid w:val="004746DA"/>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4746DA"/>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4746DA"/>
    <w:tblPr/>
  </w:style>
  <w:style w:type="paragraph" w:customStyle="1" w:styleId="SummaryTitle">
    <w:name w:val="Summary Title"/>
    <w:link w:val="SummaryTitleChar"/>
    <w:qFormat/>
    <w:rsid w:val="004746DA"/>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4746DA"/>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4746DA"/>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4746DA"/>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4746DA"/>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4746DA"/>
    <w:rPr>
      <w:color w:val="605E5C"/>
      <w:shd w:val="clear" w:color="auto" w:fill="E1DFDD"/>
    </w:rPr>
  </w:style>
  <w:style w:type="character" w:styleId="PlaceholderText">
    <w:name w:val="Placeholder Text"/>
    <w:basedOn w:val="DefaultParagraphFont"/>
    <w:uiPriority w:val="99"/>
    <w:semiHidden/>
    <w:rsid w:val="004746DA"/>
    <w:rPr>
      <w:color w:val="808080"/>
    </w:rPr>
  </w:style>
  <w:style w:type="paragraph" w:styleId="FootnoteText">
    <w:name w:val="footnote text"/>
    <w:basedOn w:val="Normal"/>
    <w:link w:val="FootnoteTextChar"/>
    <w:semiHidden/>
    <w:unhideWhenUsed/>
    <w:rsid w:val="004746DA"/>
    <w:pPr>
      <w:spacing w:after="0" w:line="240" w:lineRule="auto"/>
    </w:pPr>
    <w:rPr>
      <w:sz w:val="20"/>
      <w:szCs w:val="20"/>
    </w:rPr>
  </w:style>
  <w:style w:type="character" w:customStyle="1" w:styleId="FootnoteTextChar">
    <w:name w:val="Footnote Text Char"/>
    <w:basedOn w:val="DefaultParagraphFont"/>
    <w:link w:val="FootnoteText"/>
    <w:semiHidden/>
    <w:rsid w:val="004746DA"/>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4746DA"/>
    <w:rPr>
      <w:vertAlign w:val="superscript"/>
    </w:rPr>
  </w:style>
  <w:style w:type="paragraph" w:styleId="CommentText">
    <w:name w:val="annotation text"/>
    <w:basedOn w:val="Normal"/>
    <w:link w:val="CommentTextChar"/>
    <w:unhideWhenUsed/>
    <w:rsid w:val="001B3629"/>
    <w:pPr>
      <w:spacing w:after="0" w:line="240" w:lineRule="auto"/>
    </w:pPr>
    <w:rPr>
      <w:rFonts w:ascii="Calibri" w:eastAsia="Times New Roman" w:hAnsi="Calibri" w:cs="Times New Roman"/>
      <w:kern w:val="0"/>
      <w:sz w:val="20"/>
      <w:szCs w:val="20"/>
      <w:lang w:eastAsia="en-GB"/>
      <w14:ligatures w14:val="none"/>
    </w:rPr>
  </w:style>
  <w:style w:type="character" w:customStyle="1" w:styleId="CommentTextChar">
    <w:name w:val="Comment Text Char"/>
    <w:basedOn w:val="DefaultParagraphFont"/>
    <w:link w:val="CommentText"/>
    <w:rsid w:val="001B3629"/>
    <w:rPr>
      <w:sz w:val="20"/>
      <w:szCs w:val="20"/>
    </w:rPr>
  </w:style>
  <w:style w:type="character" w:styleId="CommentReference">
    <w:name w:val="annotation reference"/>
    <w:basedOn w:val="DefaultParagraphFont"/>
    <w:semiHidden/>
    <w:unhideWhenUsed/>
    <w:rsid w:val="001B3629"/>
    <w:rPr>
      <w:sz w:val="16"/>
      <w:szCs w:val="16"/>
    </w:rPr>
  </w:style>
  <w:style w:type="paragraph" w:styleId="CommentSubject">
    <w:name w:val="annotation subject"/>
    <w:basedOn w:val="CommentText"/>
    <w:next w:val="CommentText"/>
    <w:link w:val="CommentSubjectChar"/>
    <w:semiHidden/>
    <w:unhideWhenUsed/>
    <w:rsid w:val="00A40EB6"/>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semiHidden/>
    <w:rsid w:val="00A40EB6"/>
    <w:rPr>
      <w:rFonts w:asciiTheme="minorHAnsi" w:eastAsiaTheme="minorHAnsi" w:hAnsiTheme="minorHAnsi" w:cstheme="minorBid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89550420">
      <w:bodyDiv w:val="1"/>
      <w:marLeft w:val="0"/>
      <w:marRight w:val="0"/>
      <w:marTop w:val="0"/>
      <w:marBottom w:val="0"/>
      <w:divBdr>
        <w:top w:val="none" w:sz="0" w:space="0" w:color="auto"/>
        <w:left w:val="none" w:sz="0" w:space="0" w:color="auto"/>
        <w:bottom w:val="none" w:sz="0" w:space="0" w:color="auto"/>
        <w:right w:val="none" w:sz="0" w:space="0" w:color="auto"/>
      </w:divBdr>
    </w:div>
    <w:div w:id="105541038">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61267778">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00836741">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89983102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18045049">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074887712">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fc.ac.uk/publications/college-performance-indicators-2022-23/" TargetMode="External"/><Relationship Id="rId39" Type="http://schemas.openxmlformats.org/officeDocument/2006/relationships/fontTable" Target="fontTable.xml"/><Relationship Id="rId21" Type="http://schemas.openxmlformats.org/officeDocument/2006/relationships/hyperlink" Target="https://www.gov.scot/publications/blueprint-fairness-final-report-commission-widening-access/" TargetMode="External"/><Relationship Id="rId34" Type="http://schemas.openxmlformats.org/officeDocument/2006/relationships/hyperlink" Target="http://www.gov.scot/Topics/Statistics/SIM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sfc.ac.uk/publications/college-statistics-2022-23/" TargetMode="External"/><Relationship Id="rId33" Type="http://schemas.openxmlformats.org/officeDocument/2006/relationships/hyperlink" Target="http://www.gov.scot/Topics/Statistics/SIMD" TargetMode="External"/><Relationship Id="rId38" Type="http://schemas.openxmlformats.org/officeDocument/2006/relationships/hyperlink" Target="mailto:datarequests@sfc.ac.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de.statisticsauthority.gov.uk/" TargetMode="External"/><Relationship Id="rId29" Type="http://schemas.openxmlformats.org/officeDocument/2006/relationships/hyperlink" Target="https://www.gov.scot/publications/blueprint-fairness-final-report-commission-widening-acc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fc.ac.uk/assurance-accountability/outcome-agreements-listing/" TargetMode="External"/><Relationship Id="rId32" Type="http://schemas.openxmlformats.org/officeDocument/2006/relationships/hyperlink" Target="https://www.sfc.ac.uk/publications-statistics/statistical-publications/2022/SFCST052022.aspx" TargetMode="External"/><Relationship Id="rId37" Type="http://schemas.openxmlformats.org/officeDocument/2006/relationships/hyperlink" Target="https://www.statisticsauthority.gov.uk/archive/assessment/assessment/assessment-reports/assessment-report-255---statistics-on-further-and-higher-education-in-scotland.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fc.ac.uk/publications/sfcgd122023/" TargetMode="External"/><Relationship Id="rId28" Type="http://schemas.openxmlformats.org/officeDocument/2006/relationships/hyperlink" Target="https://www.sfc.ac.uk/publications/college-performance-indicators-2022-23/" TargetMode="External"/><Relationship Id="rId36" Type="http://schemas.openxmlformats.org/officeDocument/2006/relationships/hyperlink" Target="https://www.sfc.ac.uk/about-us/accessibility-statement/" TargetMode="External"/><Relationship Id="rId10" Type="http://schemas.openxmlformats.org/officeDocument/2006/relationships/footnotes" Target="footnotes.xml"/><Relationship Id="rId19" Type="http://schemas.openxmlformats.org/officeDocument/2006/relationships/hyperlink" Target="mailto:dproudfoot@sfc.ac.uk" TargetMode="External"/><Relationship Id="rId31" Type="http://schemas.openxmlformats.org/officeDocument/2006/relationships/hyperlink" Target="https://www.sfc.ac.uk/publications/he-students-and-qualifiers-at-scottish-institutions-2022-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fc.ac.uk/publications/sfccp012020/" TargetMode="External"/><Relationship Id="rId27" Type="http://schemas.openxmlformats.org/officeDocument/2006/relationships/hyperlink" Target="https://www.sfc.ac.uk/publications/sfcgd122023/" TargetMode="External"/><Relationship Id="rId30" Type="http://schemas.openxmlformats.org/officeDocument/2006/relationships/hyperlink" Target="https://www.hesa.ac.uk/collection/c21072/" TargetMode="External"/><Relationship Id="rId35" Type="http://schemas.openxmlformats.org/officeDocument/2006/relationships/hyperlink" Target="https://www.hesa.ac.uk/products/higher-education-student-statistics-uk-202223"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sfc.ac.uk/data-and-analysis/"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TaxCatchAll xmlns="76699e94-5373-4908-8786-85f2fbc6030f" xsi:nil="true"/>
    <lcf76f155ced4ddcb4097134ff3c332f xmlns="846980c5-3db8-44b0-935b-312affdd1e17">
      <Terms xmlns="http://schemas.microsoft.com/office/infopath/2007/PartnerControls"/>
    </lcf76f155ced4ddcb4097134ff3c332f>
    <_Flow_SignoffStatus xmlns="846980c5-3db8-44b0-935b-312affdd1e17" xsi:nil="true"/>
    <_dlc_DocId xmlns="76699e94-5373-4908-8786-85f2fbc6030f">MYDOC-952800175-32365</_dlc_DocId>
    <_dlc_DocIdUrl xmlns="76699e94-5373-4908-8786-85f2fbc6030f">
      <Url>https://sfcacuk.sharepoint.com/sites/MyDoc/_layouts/15/DocIdRedir.aspx?ID=MYDOC-952800175-32365</Url>
      <Description>MYDOC-952800175-32365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66E8F5-E280-4BEE-A082-012AC6C8AE6F}">
  <ds:schemaRefs>
    <ds:schemaRef ds:uri="http://schemas.microsoft.com/office/2006/metadata/properties"/>
    <ds:schemaRef ds:uri="http://schemas.microsoft.com/office/infopath/2007/PartnerControls"/>
    <ds:schemaRef ds:uri="846980c5-3db8-44b0-935b-312affdd1e17"/>
    <ds:schemaRef ds:uri="76699e94-5373-4908-8786-85f2fbc6030f"/>
  </ds:schemaRefs>
</ds:datastoreItem>
</file>

<file path=customXml/itemProps2.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3.xml><?xml version="1.0" encoding="utf-8"?>
<ds:datastoreItem xmlns:ds="http://schemas.openxmlformats.org/officeDocument/2006/customXml" ds:itemID="{032E3A15-53EF-4995-9656-C1F958DC6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5.xml><?xml version="1.0" encoding="utf-8"?>
<ds:datastoreItem xmlns:ds="http://schemas.openxmlformats.org/officeDocument/2006/customXml" ds:itemID="{F5F065F1-8D86-421D-9A23-61D2F799C3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Report on Widening Access 2022-23 Annex</vt:lpstr>
    </vt:vector>
  </TitlesOfParts>
  <Company>SFC</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Widening Access 2022-23 Annex</dc:title>
  <dc:creator>dproudfoot@sfc.ac.uk</dc:creator>
  <cp:lastModifiedBy>Giulio Romano</cp:lastModifiedBy>
  <cp:revision>12</cp:revision>
  <cp:lastPrinted>2019-06-25T10:05:00Z</cp:lastPrinted>
  <dcterms:created xsi:type="dcterms:W3CDTF">2024-12-06T10:46:00Z</dcterms:created>
  <dcterms:modified xsi:type="dcterms:W3CDTF">2024-12-12T13:49:00Z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021bc82c-45a2-41d9-98c5-497b24531e9b</vt:lpwstr>
  </property>
  <property fmtid="{D5CDD505-2E9C-101B-9397-08002B2CF9AE}" pid="28" name="MediaServiceImageTags">
    <vt:lpwstr/>
  </property>
</Properties>
</file>